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2C" w:rsidRDefault="00601A2C" w:rsidP="00601A2C">
      <w:pPr>
        <w:jc w:val="center"/>
        <w:rPr>
          <w:b/>
          <w:sz w:val="28"/>
          <w:szCs w:val="28"/>
        </w:rPr>
      </w:pPr>
      <w:r>
        <w:rPr>
          <w:b/>
          <w:sz w:val="28"/>
          <w:szCs w:val="28"/>
        </w:rPr>
        <w:t>2019 CoC NOFA</w:t>
      </w:r>
    </w:p>
    <w:p w:rsidR="00601A2C" w:rsidRDefault="00601A2C" w:rsidP="00601A2C">
      <w:pPr>
        <w:jc w:val="center"/>
        <w:rPr>
          <w:b/>
          <w:sz w:val="28"/>
          <w:szCs w:val="28"/>
        </w:rPr>
      </w:pPr>
      <w:r>
        <w:rPr>
          <w:b/>
          <w:sz w:val="28"/>
          <w:szCs w:val="28"/>
        </w:rPr>
        <w:t xml:space="preserve">FREQUENTLY ASKED QUESTIONS </w:t>
      </w:r>
    </w:p>
    <w:p w:rsidR="00601A2C" w:rsidRDefault="00601A2C" w:rsidP="00601A2C">
      <w:pPr>
        <w:jc w:val="center"/>
        <w:rPr>
          <w:b/>
          <w:sz w:val="28"/>
          <w:szCs w:val="28"/>
        </w:rPr>
      </w:pPr>
      <w:r>
        <w:rPr>
          <w:b/>
          <w:sz w:val="28"/>
          <w:szCs w:val="28"/>
        </w:rPr>
        <w:t>AND WEEKLY NOTICES</w:t>
      </w:r>
    </w:p>
    <w:p w:rsidR="00601A2C" w:rsidRDefault="00601A2C" w:rsidP="00601A2C">
      <w:pPr>
        <w:jc w:val="center"/>
        <w:rPr>
          <w:b/>
          <w:sz w:val="22"/>
          <w:szCs w:val="22"/>
        </w:rPr>
      </w:pPr>
      <w:r>
        <w:rPr>
          <w:b/>
          <w:sz w:val="28"/>
          <w:szCs w:val="28"/>
        </w:rPr>
        <w:t>July 22, 2019</w:t>
      </w:r>
    </w:p>
    <w:p w:rsidR="00601A2C" w:rsidRDefault="00601A2C" w:rsidP="00601A2C"/>
    <w:tbl>
      <w:tblPr>
        <w:tblStyle w:val="TableGrid"/>
        <w:tblW w:w="9738" w:type="dxa"/>
        <w:tblInd w:w="0" w:type="dxa"/>
        <w:tblLayout w:type="fixed"/>
        <w:tblLook w:val="04A0" w:firstRow="1" w:lastRow="0" w:firstColumn="1" w:lastColumn="0" w:noHBand="0" w:noVBand="1"/>
      </w:tblPr>
      <w:tblGrid>
        <w:gridCol w:w="2073"/>
        <w:gridCol w:w="2872"/>
        <w:gridCol w:w="4793"/>
      </w:tblGrid>
      <w:tr w:rsidR="00601A2C" w:rsidTr="00C64265">
        <w:tc>
          <w:tcPr>
            <w:tcW w:w="2073" w:type="dxa"/>
            <w:tcBorders>
              <w:top w:val="single" w:sz="4" w:space="0" w:color="auto"/>
              <w:left w:val="single" w:sz="4" w:space="0" w:color="auto"/>
              <w:bottom w:val="single" w:sz="4" w:space="0" w:color="auto"/>
              <w:right w:val="single" w:sz="4" w:space="0" w:color="auto"/>
            </w:tcBorders>
            <w:hideMark/>
          </w:tcPr>
          <w:p w:rsidR="00601A2C" w:rsidRDefault="00601A2C">
            <w:pPr>
              <w:jc w:val="center"/>
              <w:rPr>
                <w:b/>
                <w:sz w:val="24"/>
                <w:szCs w:val="24"/>
              </w:rPr>
            </w:pPr>
            <w:r>
              <w:rPr>
                <w:b/>
                <w:sz w:val="24"/>
                <w:szCs w:val="24"/>
              </w:rPr>
              <w:t>TOPIC</w:t>
            </w:r>
          </w:p>
        </w:tc>
        <w:tc>
          <w:tcPr>
            <w:tcW w:w="2872" w:type="dxa"/>
            <w:tcBorders>
              <w:top w:val="single" w:sz="4" w:space="0" w:color="auto"/>
              <w:left w:val="single" w:sz="4" w:space="0" w:color="auto"/>
              <w:bottom w:val="single" w:sz="4" w:space="0" w:color="auto"/>
              <w:right w:val="single" w:sz="4" w:space="0" w:color="auto"/>
            </w:tcBorders>
            <w:hideMark/>
          </w:tcPr>
          <w:p w:rsidR="00601A2C" w:rsidRDefault="00601A2C">
            <w:pPr>
              <w:jc w:val="center"/>
              <w:rPr>
                <w:b/>
                <w:sz w:val="24"/>
                <w:szCs w:val="24"/>
              </w:rPr>
            </w:pPr>
            <w:r>
              <w:rPr>
                <w:b/>
                <w:sz w:val="24"/>
                <w:szCs w:val="24"/>
              </w:rPr>
              <w:t>DETAIL</w:t>
            </w:r>
          </w:p>
        </w:tc>
        <w:tc>
          <w:tcPr>
            <w:tcW w:w="4793" w:type="dxa"/>
            <w:tcBorders>
              <w:top w:val="single" w:sz="4" w:space="0" w:color="auto"/>
              <w:left w:val="single" w:sz="4" w:space="0" w:color="auto"/>
              <w:bottom w:val="single" w:sz="4" w:space="0" w:color="auto"/>
              <w:right w:val="single" w:sz="4" w:space="0" w:color="auto"/>
            </w:tcBorders>
            <w:hideMark/>
          </w:tcPr>
          <w:p w:rsidR="00601A2C" w:rsidRDefault="00601A2C">
            <w:pPr>
              <w:jc w:val="center"/>
              <w:rPr>
                <w:b/>
                <w:sz w:val="24"/>
                <w:szCs w:val="24"/>
              </w:rPr>
            </w:pPr>
            <w:r>
              <w:rPr>
                <w:b/>
                <w:sz w:val="24"/>
                <w:szCs w:val="24"/>
              </w:rPr>
              <w:t>RESPONSE</w:t>
            </w:r>
          </w:p>
        </w:tc>
      </w:tr>
      <w:tr w:rsidR="00601A2C" w:rsidTr="00C64265">
        <w:tc>
          <w:tcPr>
            <w:tcW w:w="2073" w:type="dxa"/>
            <w:tcBorders>
              <w:top w:val="single" w:sz="4" w:space="0" w:color="auto"/>
              <w:left w:val="single" w:sz="4" w:space="0" w:color="auto"/>
              <w:bottom w:val="single" w:sz="4" w:space="0" w:color="auto"/>
              <w:right w:val="single" w:sz="4" w:space="0" w:color="auto"/>
            </w:tcBorders>
            <w:hideMark/>
          </w:tcPr>
          <w:p w:rsidR="00601A2C" w:rsidRDefault="00601A2C">
            <w:pPr>
              <w:jc w:val="center"/>
            </w:pPr>
            <w:r w:rsidRPr="0041736B">
              <w:t>Project Applications</w:t>
            </w:r>
          </w:p>
          <w:p w:rsidR="00CF76EA" w:rsidRPr="0041736B" w:rsidRDefault="00CF76EA">
            <w:pPr>
              <w:jc w:val="center"/>
            </w:pPr>
            <w:r>
              <w:t>Funding</w:t>
            </w:r>
          </w:p>
        </w:tc>
        <w:tc>
          <w:tcPr>
            <w:tcW w:w="2872" w:type="dxa"/>
            <w:tcBorders>
              <w:top w:val="single" w:sz="4" w:space="0" w:color="auto"/>
              <w:left w:val="single" w:sz="4" w:space="0" w:color="auto"/>
              <w:bottom w:val="single" w:sz="4" w:space="0" w:color="auto"/>
              <w:right w:val="single" w:sz="4" w:space="0" w:color="auto"/>
            </w:tcBorders>
          </w:tcPr>
          <w:p w:rsidR="00601A2C" w:rsidRPr="0041736B" w:rsidRDefault="0041736B" w:rsidP="0041736B">
            <w:r w:rsidRPr="0041736B">
              <w:t>Does an organization have to use self-reallocation (voluntarily reduce funds from one of its projects in order to apply for an expansion grant?</w:t>
            </w:r>
          </w:p>
        </w:tc>
        <w:tc>
          <w:tcPr>
            <w:tcW w:w="4793" w:type="dxa"/>
            <w:tcBorders>
              <w:top w:val="single" w:sz="4" w:space="0" w:color="auto"/>
              <w:left w:val="single" w:sz="4" w:space="0" w:color="auto"/>
              <w:bottom w:val="single" w:sz="4" w:space="0" w:color="auto"/>
              <w:right w:val="single" w:sz="4" w:space="0" w:color="auto"/>
            </w:tcBorders>
          </w:tcPr>
          <w:p w:rsidR="004F2CBF" w:rsidRPr="00C64265" w:rsidRDefault="0041736B" w:rsidP="004F2CBF">
            <w:pPr>
              <w:shd w:val="clear" w:color="auto" w:fill="FFFFFF"/>
              <w:rPr>
                <w:rFonts w:eastAsia="Times New Roman" w:cstheme="minorHAnsi"/>
                <w:color w:val="222222"/>
                <w:sz w:val="20"/>
                <w:szCs w:val="20"/>
              </w:rPr>
            </w:pPr>
            <w:r w:rsidRPr="00C64265">
              <w:rPr>
                <w:rFonts w:eastAsia="Times New Roman" w:cstheme="minorHAnsi"/>
                <w:color w:val="222222"/>
              </w:rPr>
              <w:t xml:space="preserve">No. </w:t>
            </w:r>
            <w:r w:rsidR="004F2CBF" w:rsidRPr="00C64265">
              <w:rPr>
                <w:rFonts w:eastAsia="Times New Roman" w:cstheme="minorHAnsi"/>
                <w:color w:val="222222"/>
              </w:rPr>
              <w:t xml:space="preserve"> </w:t>
            </w:r>
            <w:r w:rsidR="004F2CBF" w:rsidRPr="00C64265">
              <w:rPr>
                <w:rFonts w:eastAsia="Times New Roman" w:cstheme="minorHAnsi"/>
                <w:color w:val="222222"/>
                <w:sz w:val="20"/>
                <w:szCs w:val="20"/>
              </w:rPr>
              <w:t>You do not need to "self-reallocate" your own renewal funds to apply for expansion.  Expansion projects will be funded from overall reallocation.  </w:t>
            </w:r>
          </w:p>
          <w:p w:rsidR="004F2CBF" w:rsidRPr="00C64265" w:rsidRDefault="004F2CBF" w:rsidP="004F2CBF">
            <w:pPr>
              <w:shd w:val="clear" w:color="auto" w:fill="FFFFFF"/>
              <w:rPr>
                <w:rFonts w:eastAsia="Times New Roman" w:cstheme="minorHAnsi"/>
                <w:color w:val="222222"/>
                <w:sz w:val="20"/>
                <w:szCs w:val="20"/>
              </w:rPr>
            </w:pPr>
            <w:r w:rsidRPr="00C64265">
              <w:rPr>
                <w:rFonts w:eastAsia="Times New Roman" w:cstheme="minorHAnsi"/>
                <w:color w:val="222222"/>
                <w:sz w:val="20"/>
                <w:szCs w:val="20"/>
              </w:rPr>
              <w:t> </w:t>
            </w:r>
          </w:p>
          <w:p w:rsidR="00601A2C" w:rsidRPr="00C64265" w:rsidRDefault="004F2CBF" w:rsidP="004F2CBF">
            <w:pPr>
              <w:shd w:val="clear" w:color="auto" w:fill="FFFFFF"/>
              <w:rPr>
                <w:rFonts w:eastAsia="Times New Roman" w:cstheme="minorHAnsi"/>
                <w:color w:val="222222"/>
                <w:sz w:val="20"/>
                <w:szCs w:val="20"/>
              </w:rPr>
            </w:pPr>
            <w:r w:rsidRPr="00C64265">
              <w:rPr>
                <w:rFonts w:eastAsia="Times New Roman" w:cstheme="minorHAnsi"/>
                <w:color w:val="222222"/>
                <w:sz w:val="20"/>
                <w:szCs w:val="20"/>
              </w:rPr>
              <w:t>Based on the renewal intent forms received, our CoC has at least $430,000 available for reallocation.  </w:t>
            </w:r>
          </w:p>
        </w:tc>
      </w:tr>
      <w:tr w:rsidR="0044334A" w:rsidTr="00C64265">
        <w:tc>
          <w:tcPr>
            <w:tcW w:w="2073" w:type="dxa"/>
            <w:tcBorders>
              <w:top w:val="single" w:sz="4" w:space="0" w:color="auto"/>
              <w:left w:val="single" w:sz="4" w:space="0" w:color="auto"/>
              <w:bottom w:val="single" w:sz="4" w:space="0" w:color="auto"/>
              <w:right w:val="single" w:sz="4" w:space="0" w:color="auto"/>
            </w:tcBorders>
          </w:tcPr>
          <w:p w:rsidR="0044334A" w:rsidRDefault="0044334A">
            <w:pPr>
              <w:jc w:val="center"/>
            </w:pPr>
            <w:r>
              <w:t>Project</w:t>
            </w:r>
            <w:r w:rsidR="00CF76EA">
              <w:t xml:space="preserve"> Applications</w:t>
            </w:r>
          </w:p>
          <w:p w:rsidR="0044334A" w:rsidRPr="0041736B" w:rsidRDefault="0044334A">
            <w:pPr>
              <w:jc w:val="center"/>
            </w:pPr>
            <w:r>
              <w:t>Housing First</w:t>
            </w:r>
            <w:r w:rsidR="00CF76EA">
              <w:t xml:space="preserve"> Requirements</w:t>
            </w:r>
          </w:p>
        </w:tc>
        <w:tc>
          <w:tcPr>
            <w:tcW w:w="2872" w:type="dxa"/>
            <w:tcBorders>
              <w:top w:val="single" w:sz="4" w:space="0" w:color="auto"/>
              <w:left w:val="single" w:sz="4" w:space="0" w:color="auto"/>
              <w:bottom w:val="single" w:sz="4" w:space="0" w:color="auto"/>
              <w:right w:val="single" w:sz="4" w:space="0" w:color="auto"/>
            </w:tcBorders>
          </w:tcPr>
          <w:p w:rsidR="0044334A" w:rsidRPr="0041736B" w:rsidRDefault="00D71145" w:rsidP="0041736B">
            <w:r>
              <w:t>The 2019 NOFA changes the Housing First requirements. Will the local requirement change?</w:t>
            </w:r>
          </w:p>
        </w:tc>
        <w:tc>
          <w:tcPr>
            <w:tcW w:w="4793" w:type="dxa"/>
            <w:tcBorders>
              <w:top w:val="single" w:sz="4" w:space="0" w:color="auto"/>
              <w:left w:val="single" w:sz="4" w:space="0" w:color="auto"/>
              <w:bottom w:val="single" w:sz="4" w:space="0" w:color="auto"/>
              <w:right w:val="single" w:sz="4" w:space="0" w:color="auto"/>
            </w:tcBorders>
          </w:tcPr>
          <w:p w:rsidR="00D71145" w:rsidRDefault="00D71145">
            <w:pPr>
              <w:rPr>
                <w:rFonts w:eastAsia="Times New Roman" w:cs="Arial"/>
                <w:color w:val="222222"/>
              </w:rPr>
            </w:pPr>
            <w:r>
              <w:rPr>
                <w:rFonts w:eastAsia="Times New Roman" w:cs="Arial"/>
                <w:color w:val="222222"/>
              </w:rPr>
              <w:t xml:space="preserve">Although the NOFA allows for projects to require some services after the participant(s) are stably housed, low barrier entrance and outcome requirements have not changed.  </w:t>
            </w:r>
          </w:p>
          <w:p w:rsidR="0044334A" w:rsidRDefault="00D71145">
            <w:pPr>
              <w:rPr>
                <w:rFonts w:eastAsia="Times New Roman" w:cs="Arial"/>
                <w:color w:val="222222"/>
              </w:rPr>
            </w:pPr>
            <w:r>
              <w:rPr>
                <w:rFonts w:eastAsia="Times New Roman" w:cs="Arial"/>
                <w:color w:val="222222"/>
              </w:rPr>
              <w:t>Programs that receive state funds should also note that the state definition and requirements have not changed.</w:t>
            </w:r>
          </w:p>
          <w:p w:rsidR="00D71145" w:rsidRDefault="00D71145">
            <w:pPr>
              <w:rPr>
                <w:rFonts w:eastAsia="Times New Roman" w:cs="Arial"/>
                <w:color w:val="222222"/>
              </w:rPr>
            </w:pPr>
            <w:r>
              <w:rPr>
                <w:rFonts w:eastAsia="Times New Roman" w:cs="Arial"/>
                <w:color w:val="222222"/>
              </w:rPr>
              <w:t xml:space="preserve">Requiring treatment or services that are related to a person’s disability (such as substance use disorder or mental health conditions) are still prohibited by federal regulation. </w:t>
            </w:r>
          </w:p>
          <w:p w:rsidR="00D71145" w:rsidRDefault="00D71145">
            <w:pPr>
              <w:rPr>
                <w:rFonts w:eastAsia="Times New Roman" w:cs="Arial"/>
                <w:color w:val="222222"/>
              </w:rPr>
            </w:pPr>
            <w:r>
              <w:rPr>
                <w:rFonts w:eastAsia="Times New Roman" w:cs="Arial"/>
                <w:color w:val="222222"/>
              </w:rPr>
              <w:t>As a result, no major change in local requirements will be implemented at this time.</w:t>
            </w:r>
          </w:p>
          <w:p w:rsidR="00D71145" w:rsidRDefault="00D71145">
            <w:pPr>
              <w:rPr>
                <w:rFonts w:eastAsia="Times New Roman" w:cs="Arial"/>
                <w:color w:val="222222"/>
              </w:rPr>
            </w:pPr>
            <w:r>
              <w:rPr>
                <w:rFonts w:eastAsia="Times New Roman" w:cs="Arial"/>
                <w:color w:val="222222"/>
              </w:rPr>
              <w:t xml:space="preserve">See NAEH Steven Berg’s </w:t>
            </w:r>
            <w:r w:rsidR="001E7B2A">
              <w:rPr>
                <w:rFonts w:eastAsia="Times New Roman" w:cs="Arial"/>
                <w:color w:val="222222"/>
              </w:rPr>
              <w:t>comments:</w:t>
            </w:r>
          </w:p>
          <w:p w:rsidR="002F0616" w:rsidRDefault="00F65D96">
            <w:pPr>
              <w:rPr>
                <w:rFonts w:eastAsia="Times New Roman" w:cs="Arial"/>
                <w:color w:val="222222"/>
              </w:rPr>
            </w:pPr>
            <w:hyperlink r:id="rId7" w:history="1">
              <w:r w:rsidR="006311A4" w:rsidRPr="006311A4">
                <w:rPr>
                  <w:rStyle w:val="Hyperlink"/>
                  <w:rFonts w:eastAsia="Times New Roman" w:cs="Arial"/>
                </w:rPr>
                <w:t>..\NAEH by Steven Berg.docx</w:t>
              </w:r>
            </w:hyperlink>
          </w:p>
        </w:tc>
      </w:tr>
      <w:tr w:rsidR="00D71145" w:rsidTr="00C64265">
        <w:tc>
          <w:tcPr>
            <w:tcW w:w="2073" w:type="dxa"/>
            <w:tcBorders>
              <w:top w:val="single" w:sz="4" w:space="0" w:color="auto"/>
              <w:left w:val="single" w:sz="4" w:space="0" w:color="auto"/>
              <w:bottom w:val="single" w:sz="4" w:space="0" w:color="auto"/>
              <w:right w:val="single" w:sz="4" w:space="0" w:color="auto"/>
            </w:tcBorders>
          </w:tcPr>
          <w:p w:rsidR="00D71145" w:rsidRDefault="00D71145">
            <w:pPr>
              <w:jc w:val="center"/>
            </w:pPr>
            <w:r>
              <w:t>Project Scoring</w:t>
            </w:r>
          </w:p>
          <w:p w:rsidR="00D71145" w:rsidRDefault="00D71145">
            <w:pPr>
              <w:jc w:val="center"/>
            </w:pPr>
            <w:r>
              <w:t>Employment</w:t>
            </w:r>
          </w:p>
        </w:tc>
        <w:tc>
          <w:tcPr>
            <w:tcW w:w="2872" w:type="dxa"/>
            <w:tcBorders>
              <w:top w:val="single" w:sz="4" w:space="0" w:color="auto"/>
              <w:left w:val="single" w:sz="4" w:space="0" w:color="auto"/>
              <w:bottom w:val="single" w:sz="4" w:space="0" w:color="auto"/>
              <w:right w:val="single" w:sz="4" w:space="0" w:color="auto"/>
            </w:tcBorders>
          </w:tcPr>
          <w:p w:rsidR="00D71145" w:rsidRDefault="00D71145" w:rsidP="00D71145">
            <w:r>
              <w:t>The local summary for this year’s NOFA mention a new emphasis on employment. Will this year’s scoring change?</w:t>
            </w:r>
          </w:p>
        </w:tc>
        <w:tc>
          <w:tcPr>
            <w:tcW w:w="4793" w:type="dxa"/>
            <w:tcBorders>
              <w:top w:val="single" w:sz="4" w:space="0" w:color="auto"/>
              <w:left w:val="single" w:sz="4" w:space="0" w:color="auto"/>
              <w:bottom w:val="single" w:sz="4" w:space="0" w:color="auto"/>
              <w:right w:val="single" w:sz="4" w:space="0" w:color="auto"/>
            </w:tcBorders>
          </w:tcPr>
          <w:p w:rsidR="00D71145" w:rsidRDefault="00D71145" w:rsidP="002660C1">
            <w:pPr>
              <w:rPr>
                <w:rFonts w:eastAsia="Times New Roman" w:cs="Arial"/>
                <w:color w:val="222222"/>
              </w:rPr>
            </w:pPr>
            <w:r>
              <w:rPr>
                <w:rFonts w:eastAsia="Times New Roman" w:cs="Arial"/>
                <w:color w:val="222222"/>
              </w:rPr>
              <w:t xml:space="preserve">Increased income (from employment or other </w:t>
            </w:r>
            <w:r w:rsidR="002660C1">
              <w:rPr>
                <w:rFonts w:eastAsia="Times New Roman" w:cs="Arial"/>
                <w:color w:val="222222"/>
              </w:rPr>
              <w:t>resources) has been</w:t>
            </w:r>
            <w:r>
              <w:rPr>
                <w:rFonts w:eastAsia="Times New Roman" w:cs="Arial"/>
                <w:color w:val="222222"/>
              </w:rPr>
              <w:t xml:space="preserve"> part of local scoring</w:t>
            </w:r>
            <w:r w:rsidR="002660C1">
              <w:rPr>
                <w:rFonts w:eastAsia="Times New Roman" w:cs="Arial"/>
                <w:color w:val="222222"/>
              </w:rPr>
              <w:t xml:space="preserve"> for a few years.  Please anticipate that local scoring will reflect HUD’s emphasis in the form of bonus points for certain employment / training activities.</w:t>
            </w:r>
          </w:p>
        </w:tc>
      </w:tr>
      <w:tr w:rsidR="007439F5" w:rsidTr="00C64265">
        <w:tc>
          <w:tcPr>
            <w:tcW w:w="2073" w:type="dxa"/>
            <w:tcBorders>
              <w:top w:val="single" w:sz="4" w:space="0" w:color="auto"/>
              <w:left w:val="single" w:sz="4" w:space="0" w:color="auto"/>
              <w:bottom w:val="single" w:sz="4" w:space="0" w:color="auto"/>
              <w:right w:val="single" w:sz="4" w:space="0" w:color="auto"/>
            </w:tcBorders>
          </w:tcPr>
          <w:p w:rsidR="007439F5" w:rsidRDefault="007439F5" w:rsidP="007439F5">
            <w:pPr>
              <w:jc w:val="center"/>
            </w:pPr>
            <w:r>
              <w:t>Project Eligibility and Funding</w:t>
            </w:r>
          </w:p>
          <w:p w:rsidR="007439F5" w:rsidRDefault="007439F5" w:rsidP="007439F5">
            <w:pPr>
              <w:jc w:val="center"/>
            </w:pPr>
            <w:r>
              <w:t>Expansion</w:t>
            </w:r>
          </w:p>
          <w:p w:rsidR="007439F5" w:rsidRDefault="007439F5" w:rsidP="007439F5">
            <w:pPr>
              <w:jc w:val="center"/>
            </w:pPr>
          </w:p>
          <w:p w:rsidR="007439F5" w:rsidRDefault="007439F5" w:rsidP="007439F5">
            <w:pPr>
              <w:jc w:val="center"/>
            </w:pPr>
          </w:p>
          <w:p w:rsidR="007439F5" w:rsidRDefault="007439F5" w:rsidP="007439F5">
            <w:pPr>
              <w:jc w:val="center"/>
            </w:pPr>
          </w:p>
          <w:p w:rsidR="007439F5" w:rsidRDefault="007439F5" w:rsidP="007439F5">
            <w:pPr>
              <w:jc w:val="center"/>
            </w:pPr>
          </w:p>
          <w:p w:rsidR="007439F5" w:rsidRDefault="007439F5" w:rsidP="007439F5">
            <w:pPr>
              <w:jc w:val="center"/>
            </w:pPr>
          </w:p>
          <w:p w:rsidR="007439F5" w:rsidRDefault="007439F5" w:rsidP="007439F5">
            <w:pPr>
              <w:jc w:val="center"/>
            </w:pPr>
          </w:p>
          <w:p w:rsidR="007439F5" w:rsidRDefault="007439F5" w:rsidP="007439F5">
            <w:pPr>
              <w:jc w:val="center"/>
            </w:pPr>
          </w:p>
          <w:p w:rsidR="007439F5" w:rsidRDefault="007439F5" w:rsidP="007439F5">
            <w:pPr>
              <w:jc w:val="center"/>
            </w:pPr>
            <w:r>
              <w:t>Project Eligibility and Funding</w:t>
            </w:r>
          </w:p>
          <w:p w:rsidR="007439F5" w:rsidRDefault="007439F5" w:rsidP="007439F5">
            <w:pPr>
              <w:jc w:val="center"/>
            </w:pPr>
            <w:r>
              <w:t>Expansion</w:t>
            </w:r>
            <w:r>
              <w:t xml:space="preserve"> </w:t>
            </w:r>
            <w:r w:rsidRPr="007439F5">
              <w:rPr>
                <w:i/>
              </w:rPr>
              <w:t xml:space="preserve"> (continued)</w:t>
            </w:r>
          </w:p>
        </w:tc>
        <w:tc>
          <w:tcPr>
            <w:tcW w:w="2872" w:type="dxa"/>
            <w:tcBorders>
              <w:top w:val="single" w:sz="4" w:space="0" w:color="auto"/>
              <w:left w:val="single" w:sz="4" w:space="0" w:color="auto"/>
              <w:bottom w:val="single" w:sz="4" w:space="0" w:color="auto"/>
              <w:right w:val="single" w:sz="4" w:space="0" w:color="auto"/>
            </w:tcBorders>
          </w:tcPr>
          <w:p w:rsidR="007439F5" w:rsidRDefault="007439F5" w:rsidP="007439F5">
            <w:r>
              <w:lastRenderedPageBreak/>
              <w:t xml:space="preserve">How do we apply for expansion of a renewal project?  </w:t>
            </w:r>
          </w:p>
          <w:p w:rsidR="007439F5" w:rsidRDefault="007439F5" w:rsidP="007439F5"/>
          <w:p w:rsidR="007439F5" w:rsidRDefault="007439F5" w:rsidP="007439F5"/>
          <w:p w:rsidR="007439F5" w:rsidRDefault="007439F5" w:rsidP="007439F5"/>
          <w:p w:rsidR="007439F5" w:rsidRDefault="007439F5" w:rsidP="007439F5"/>
          <w:p w:rsidR="007439F5" w:rsidRDefault="007439F5" w:rsidP="007439F5"/>
          <w:p w:rsidR="007439F5" w:rsidRDefault="007439F5" w:rsidP="007439F5"/>
          <w:p w:rsidR="007439F5" w:rsidRDefault="007439F5" w:rsidP="007439F5"/>
          <w:p w:rsidR="007439F5" w:rsidRDefault="007439F5" w:rsidP="007439F5">
            <w:r>
              <w:t xml:space="preserve">How do we apply for expansion of a renewal project? </w:t>
            </w:r>
            <w:r w:rsidRPr="007439F5">
              <w:rPr>
                <w:i/>
              </w:rPr>
              <w:t xml:space="preserve"> </w:t>
            </w:r>
            <w:r w:rsidRPr="007439F5">
              <w:rPr>
                <w:i/>
              </w:rPr>
              <w:t>(continued)</w:t>
            </w:r>
          </w:p>
        </w:tc>
        <w:tc>
          <w:tcPr>
            <w:tcW w:w="4793" w:type="dxa"/>
            <w:tcBorders>
              <w:top w:val="single" w:sz="4" w:space="0" w:color="auto"/>
              <w:left w:val="single" w:sz="4" w:space="0" w:color="auto"/>
              <w:bottom w:val="single" w:sz="4" w:space="0" w:color="auto"/>
              <w:right w:val="single" w:sz="4" w:space="0" w:color="auto"/>
            </w:tcBorders>
          </w:tcPr>
          <w:p w:rsidR="007439F5" w:rsidRDefault="007439F5" w:rsidP="007439F5">
            <w:pPr>
              <w:rPr>
                <w:rFonts w:eastAsia="Times New Roman" w:cs="Arial"/>
                <w:color w:val="222222"/>
              </w:rPr>
            </w:pPr>
            <w:r>
              <w:rPr>
                <w:rFonts w:eastAsia="Times New Roman" w:cs="Arial"/>
                <w:color w:val="222222"/>
              </w:rPr>
              <w:lastRenderedPageBreak/>
              <w:t>HUD has updated how projects apply for expansion.  There are three (3) parts to expansion applications: two (2) renewal packets and one new packet.</w:t>
            </w:r>
          </w:p>
          <w:p w:rsidR="007439F5" w:rsidRDefault="007439F5" w:rsidP="007439F5">
            <w:pPr>
              <w:rPr>
                <w:rFonts w:eastAsia="Times New Roman" w:cs="Arial"/>
                <w:color w:val="222222"/>
              </w:rPr>
            </w:pPr>
          </w:p>
          <w:p w:rsidR="007439F5" w:rsidRDefault="007439F5" w:rsidP="007439F5">
            <w:r>
              <w:rPr>
                <w:rFonts w:eastAsia="Times New Roman" w:cs="Arial"/>
                <w:color w:val="222222"/>
              </w:rPr>
              <w:t xml:space="preserve">Step 1: the original renewal as a </w:t>
            </w:r>
            <w:r>
              <w:t xml:space="preserve">“Stand-alone </w:t>
            </w:r>
            <w:r w:rsidRPr="003C0DFB">
              <w:rPr>
                <w:u w:val="single"/>
              </w:rPr>
              <w:t>Renewal</w:t>
            </w:r>
            <w:r>
              <w:t xml:space="preserve">” project application that contains the activities and budgets from the current grant agreement. Indicate that this is part of an </w:t>
            </w:r>
            <w:r>
              <w:lastRenderedPageBreak/>
              <w:t>expansion effort. The project name of the stand-alone renewal project application should match the project name on the 2019 GIW you verified in April. (Project “ABC”.</w:t>
            </w:r>
          </w:p>
          <w:p w:rsidR="007439F5" w:rsidRDefault="007439F5" w:rsidP="007439F5"/>
          <w:p w:rsidR="007439F5" w:rsidRDefault="007439F5" w:rsidP="007439F5">
            <w:r>
              <w:t xml:space="preserve">Step 2: Submit a “Stand-alone </w:t>
            </w:r>
            <w:r w:rsidRPr="003C0DFB">
              <w:rPr>
                <w:u w:val="single"/>
              </w:rPr>
              <w:t>New</w:t>
            </w:r>
            <w:r>
              <w:t xml:space="preserve">” project application, the same as any new project application, containing the activities and budgets for the new expanded portion of the project that is being added to the renewal. </w:t>
            </w:r>
            <w:r w:rsidRPr="003C0DFB">
              <w:rPr>
                <w:i/>
              </w:rPr>
              <w:t>The name for this stand-alone new project application should have the same name as the stand-alone renewal project with the addition of “Expansion” at the end</w:t>
            </w:r>
            <w:r>
              <w:t xml:space="preserve"> (e.g., ABC Expansion) </w:t>
            </w:r>
          </w:p>
          <w:p w:rsidR="007439F5" w:rsidRDefault="007439F5" w:rsidP="007439F5"/>
          <w:p w:rsidR="007439F5" w:rsidRDefault="007439F5" w:rsidP="007439F5">
            <w:r>
              <w:t xml:space="preserve">Step 3: Submit a “Combined </w:t>
            </w:r>
            <w:r w:rsidRPr="003C0DFB">
              <w:rPr>
                <w:u w:val="single"/>
              </w:rPr>
              <w:t xml:space="preserve">Renewal </w:t>
            </w:r>
            <w:r>
              <w:t>Expansion” project application that contains the combined activities and budgets from both the Step 1: “Stand-alone Renewal” and the Step 2: “Standalone New” project application(s). The name for this combined renewal expansion project application should match the project name on the 2019 GIW with the addition of “Combined” at the end (e.g., ABC Combined).</w:t>
            </w:r>
          </w:p>
          <w:p w:rsidR="007439F5" w:rsidRDefault="007439F5" w:rsidP="007439F5"/>
          <w:p w:rsidR="007439F5" w:rsidRDefault="007439F5" w:rsidP="007439F5">
            <w:r>
              <w:t>Use this link for more details:</w:t>
            </w:r>
          </w:p>
          <w:p w:rsidR="007439F5" w:rsidRDefault="007439F5" w:rsidP="007439F5">
            <w:pPr>
              <w:rPr>
                <w:rFonts w:eastAsia="Times New Roman" w:cs="Arial"/>
                <w:color w:val="222222"/>
              </w:rPr>
            </w:pPr>
            <w:hyperlink r:id="rId8" w:history="1">
              <w:r>
                <w:rPr>
                  <w:rStyle w:val="Hyperlink"/>
                </w:rPr>
                <w:t>https://files.hudexchange.info/resources/documents/FY-2019-Renewal-Project-Application-Detailed-Instructions.pdf</w:t>
              </w:r>
            </w:hyperlink>
          </w:p>
        </w:tc>
      </w:tr>
      <w:tr w:rsidR="007439F5" w:rsidTr="00C64265">
        <w:tc>
          <w:tcPr>
            <w:tcW w:w="2073" w:type="dxa"/>
            <w:tcBorders>
              <w:top w:val="single" w:sz="4" w:space="0" w:color="auto"/>
              <w:left w:val="single" w:sz="4" w:space="0" w:color="auto"/>
              <w:bottom w:val="single" w:sz="4" w:space="0" w:color="auto"/>
              <w:right w:val="single" w:sz="4" w:space="0" w:color="auto"/>
            </w:tcBorders>
          </w:tcPr>
          <w:p w:rsidR="007439F5" w:rsidRDefault="007439F5" w:rsidP="007439F5">
            <w:pPr>
              <w:jc w:val="center"/>
            </w:pPr>
            <w:r>
              <w:lastRenderedPageBreak/>
              <w:t>Project Ranking Consolidated Projects</w:t>
            </w:r>
          </w:p>
        </w:tc>
        <w:tc>
          <w:tcPr>
            <w:tcW w:w="2872" w:type="dxa"/>
            <w:tcBorders>
              <w:top w:val="single" w:sz="4" w:space="0" w:color="auto"/>
              <w:left w:val="single" w:sz="4" w:space="0" w:color="auto"/>
              <w:bottom w:val="single" w:sz="4" w:space="0" w:color="auto"/>
              <w:right w:val="single" w:sz="4" w:space="0" w:color="auto"/>
            </w:tcBorders>
          </w:tcPr>
          <w:p w:rsidR="007439F5" w:rsidRDefault="007439F5" w:rsidP="007439F5">
            <w:r>
              <w:t xml:space="preserve">We’re considering consolidating two (2) renewal projects.  </w:t>
            </w:r>
          </w:p>
          <w:p w:rsidR="007439F5" w:rsidRDefault="007439F5" w:rsidP="007439F5">
            <w:r>
              <w:rPr>
                <w:rFonts w:ascii="Calibri" w:hAnsi="Calibri" w:cs="Calibri"/>
                <w:color w:val="222222"/>
                <w:shd w:val="clear" w:color="auto" w:fill="FFFFFF"/>
              </w:rPr>
              <w:t>For the local competition, is it true that each of these two projects would be scored and ranked </w:t>
            </w:r>
            <w:r>
              <w:rPr>
                <w:rFonts w:ascii="Calibri" w:hAnsi="Calibri" w:cs="Calibri"/>
                <w:i/>
                <w:iCs/>
                <w:color w:val="222222"/>
                <w:shd w:val="clear" w:color="auto" w:fill="FFFFFF"/>
              </w:rPr>
              <w:t>separately</w:t>
            </w:r>
            <w:r>
              <w:rPr>
                <w:rFonts w:ascii="Calibri" w:hAnsi="Calibri" w:cs="Calibri"/>
                <w:color w:val="222222"/>
                <w:shd w:val="clear" w:color="auto" w:fill="FFFFFF"/>
              </w:rPr>
              <w:t xml:space="preserve"> (i.e. not ranked as a single consolidated project)? Based upon page 8 of the NOFA, HUD would consolidate the two projects only if both are </w:t>
            </w:r>
            <w:r>
              <w:rPr>
                <w:rFonts w:ascii="Calibri" w:hAnsi="Calibri" w:cs="Calibri"/>
                <w:color w:val="222222"/>
                <w:shd w:val="clear" w:color="auto" w:fill="FFFFFF"/>
              </w:rPr>
              <w:lastRenderedPageBreak/>
              <w:t>approved/ranked above the funding threshold.</w:t>
            </w:r>
          </w:p>
        </w:tc>
        <w:tc>
          <w:tcPr>
            <w:tcW w:w="4793" w:type="dxa"/>
            <w:tcBorders>
              <w:top w:val="single" w:sz="4" w:space="0" w:color="auto"/>
              <w:left w:val="single" w:sz="4" w:space="0" w:color="auto"/>
              <w:bottom w:val="single" w:sz="4" w:space="0" w:color="auto"/>
              <w:right w:val="single" w:sz="4" w:space="0" w:color="auto"/>
            </w:tcBorders>
          </w:tcPr>
          <w:p w:rsidR="007439F5" w:rsidRDefault="007439F5" w:rsidP="007439F5">
            <w:pPr>
              <w:rPr>
                <w:rFonts w:cstheme="minorHAnsi"/>
                <w:color w:val="222222"/>
                <w:shd w:val="clear" w:color="auto" w:fill="FFFFFF"/>
              </w:rPr>
            </w:pPr>
            <w:r w:rsidRPr="000439FD">
              <w:rPr>
                <w:rFonts w:cstheme="minorHAnsi"/>
                <w:color w:val="222222"/>
                <w:shd w:val="clear" w:color="auto" w:fill="FFFFFF"/>
              </w:rPr>
              <w:lastRenderedPageBreak/>
              <w:t>For consolidated projects, the original projects are each scored, then an average score places the consolidated project in our local rank order.   HUD then instructs applicants about which project name and grant term a consolidated project will use as the "surviving" project.  This is typically the project with the earlie</w:t>
            </w:r>
            <w:bookmarkStart w:id="0" w:name="_GoBack"/>
            <w:bookmarkEnd w:id="0"/>
            <w:r w:rsidRPr="000439FD">
              <w:rPr>
                <w:rFonts w:cstheme="minorHAnsi"/>
                <w:color w:val="222222"/>
                <w:shd w:val="clear" w:color="auto" w:fill="FFFFFF"/>
              </w:rPr>
              <w:t>st operating year start date</w:t>
            </w:r>
            <w:r>
              <w:rPr>
                <w:rFonts w:cstheme="minorHAnsi"/>
                <w:color w:val="222222"/>
                <w:shd w:val="clear" w:color="auto" w:fill="FFFFFF"/>
              </w:rPr>
              <w:t>.</w:t>
            </w:r>
          </w:p>
          <w:p w:rsidR="007439F5" w:rsidRDefault="007439F5" w:rsidP="007439F5">
            <w:pPr>
              <w:rPr>
                <w:rFonts w:cstheme="minorHAnsi"/>
                <w:color w:val="222222"/>
                <w:shd w:val="clear" w:color="auto" w:fill="FFFFFF"/>
              </w:rPr>
            </w:pPr>
          </w:p>
          <w:p w:rsidR="007439F5" w:rsidRDefault="007439F5" w:rsidP="007439F5">
            <w:pPr>
              <w:rPr>
                <w:rFonts w:cstheme="minorHAnsi"/>
                <w:color w:val="222222"/>
                <w:shd w:val="clear" w:color="auto" w:fill="FFFFFF"/>
              </w:rPr>
            </w:pPr>
            <w:r>
              <w:rPr>
                <w:rFonts w:cstheme="minorHAnsi"/>
                <w:color w:val="222222"/>
                <w:shd w:val="clear" w:color="auto" w:fill="FFFFFF"/>
              </w:rPr>
              <w:t xml:space="preserve">See details at: </w:t>
            </w:r>
          </w:p>
          <w:p w:rsidR="007439F5" w:rsidRPr="000439FD" w:rsidRDefault="007439F5" w:rsidP="007439F5">
            <w:pPr>
              <w:rPr>
                <w:rFonts w:eastAsia="Times New Roman" w:cstheme="minorHAnsi"/>
                <w:color w:val="222222"/>
              </w:rPr>
            </w:pPr>
            <w:hyperlink r:id="rId9" w:history="1">
              <w:r>
                <w:rPr>
                  <w:rStyle w:val="Hyperlink"/>
                </w:rPr>
                <w:t>https://files.hudexchange.info/resources/documents/Consolidating-Eligible-Renewals-for-FY-2019-CoC-Program-Competition.pdf</w:t>
              </w:r>
            </w:hyperlink>
          </w:p>
        </w:tc>
      </w:tr>
      <w:tr w:rsidR="007439F5" w:rsidTr="00C64265">
        <w:tc>
          <w:tcPr>
            <w:tcW w:w="2073" w:type="dxa"/>
            <w:tcBorders>
              <w:top w:val="single" w:sz="4" w:space="0" w:color="auto"/>
              <w:left w:val="single" w:sz="4" w:space="0" w:color="auto"/>
              <w:bottom w:val="single" w:sz="4" w:space="0" w:color="auto"/>
              <w:right w:val="single" w:sz="4" w:space="0" w:color="auto"/>
            </w:tcBorders>
          </w:tcPr>
          <w:p w:rsidR="007439F5" w:rsidRDefault="007439F5" w:rsidP="007439F5">
            <w:pPr>
              <w:jc w:val="center"/>
            </w:pPr>
            <w:r>
              <w:t>e-SNAPS Application</w:t>
            </w:r>
          </w:p>
        </w:tc>
        <w:tc>
          <w:tcPr>
            <w:tcW w:w="2872" w:type="dxa"/>
            <w:tcBorders>
              <w:top w:val="single" w:sz="4" w:space="0" w:color="auto"/>
              <w:left w:val="single" w:sz="4" w:space="0" w:color="auto"/>
              <w:bottom w:val="single" w:sz="4" w:space="0" w:color="auto"/>
              <w:right w:val="single" w:sz="4" w:space="0" w:color="auto"/>
            </w:tcBorders>
          </w:tcPr>
          <w:p w:rsidR="007439F5" w:rsidRDefault="007439F5" w:rsidP="007439F5">
            <w:r>
              <w:t>Our agency has had staff changes. How do we update the Project Applicant Profile?</w:t>
            </w:r>
          </w:p>
        </w:tc>
        <w:tc>
          <w:tcPr>
            <w:tcW w:w="4793" w:type="dxa"/>
            <w:tcBorders>
              <w:top w:val="single" w:sz="4" w:space="0" w:color="auto"/>
              <w:left w:val="single" w:sz="4" w:space="0" w:color="auto"/>
              <w:bottom w:val="single" w:sz="4" w:space="0" w:color="auto"/>
              <w:right w:val="single" w:sz="4" w:space="0" w:color="auto"/>
            </w:tcBorders>
          </w:tcPr>
          <w:p w:rsidR="007439F5" w:rsidRDefault="007439F5" w:rsidP="007439F5">
            <w:r>
              <w:t>Please see detailed instructions at</w:t>
            </w:r>
          </w:p>
          <w:p w:rsidR="007439F5" w:rsidRDefault="007439F5" w:rsidP="007439F5">
            <w:pPr>
              <w:rPr>
                <w:rStyle w:val="Hyperlink"/>
              </w:rPr>
            </w:pPr>
            <w:hyperlink r:id="rId10" w:history="1">
              <w:r>
                <w:rPr>
                  <w:rStyle w:val="Hyperlink"/>
                </w:rPr>
                <w:t>https://www.hudexchange.info/resource/2958/instructions-for-updating-the-project-applicant-profile/</w:t>
              </w:r>
            </w:hyperlink>
          </w:p>
          <w:p w:rsidR="007439F5" w:rsidRDefault="007439F5" w:rsidP="007439F5">
            <w:pPr>
              <w:rPr>
                <w:rStyle w:val="Hyperlink"/>
              </w:rPr>
            </w:pPr>
          </w:p>
          <w:p w:rsidR="007439F5" w:rsidRPr="00B25C30" w:rsidRDefault="007439F5" w:rsidP="007439F5">
            <w:r>
              <w:rPr>
                <w:rStyle w:val="Hyperlink"/>
                <w:u w:val="none"/>
              </w:rPr>
              <w:t>If you have challenges with the process, contact your assigned NOFA TA  (Deme Hill or Pat Leslie)</w:t>
            </w:r>
          </w:p>
          <w:p w:rsidR="007439F5" w:rsidRDefault="007439F5" w:rsidP="007439F5">
            <w:pPr>
              <w:rPr>
                <w:rFonts w:eastAsia="Times New Roman" w:cs="Arial"/>
                <w:color w:val="222222"/>
              </w:rPr>
            </w:pPr>
          </w:p>
        </w:tc>
      </w:tr>
    </w:tbl>
    <w:p w:rsidR="006A7637" w:rsidRPr="00B4255B" w:rsidRDefault="006A7637" w:rsidP="00B4255B">
      <w:r w:rsidRPr="00B4255B">
        <w:t xml:space="preserve"> </w:t>
      </w:r>
    </w:p>
    <w:sectPr w:rsidR="006A7637" w:rsidRPr="00B4255B" w:rsidSect="00912BFD">
      <w:headerReference w:type="default" r:id="rId11"/>
      <w:footerReference w:type="default" r:id="rId12"/>
      <w:pgSz w:w="12240" w:h="15840"/>
      <w:pgMar w:top="2160" w:right="1051" w:bottom="2160" w:left="10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96" w:rsidRDefault="00F65D96" w:rsidP="00912BFD">
      <w:r>
        <w:separator/>
      </w:r>
    </w:p>
  </w:endnote>
  <w:endnote w:type="continuationSeparator" w:id="0">
    <w:p w:rsidR="00F65D96" w:rsidRDefault="00F65D96" w:rsidP="0091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Narrow">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625962"/>
      <w:docPartObj>
        <w:docPartGallery w:val="Page Numbers (Bottom of Page)"/>
        <w:docPartUnique/>
      </w:docPartObj>
    </w:sdtPr>
    <w:sdtEndPr>
      <w:rPr>
        <w:noProof/>
      </w:rPr>
    </w:sdtEndPr>
    <w:sdtContent>
      <w:p w:rsidR="007439F5" w:rsidRDefault="007439F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2507B0" w:rsidRDefault="00250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96" w:rsidRDefault="00F65D96" w:rsidP="00912BFD">
      <w:r>
        <w:separator/>
      </w:r>
    </w:p>
  </w:footnote>
  <w:footnote w:type="continuationSeparator" w:id="0">
    <w:p w:rsidR="00F65D96" w:rsidRDefault="00F65D96" w:rsidP="00912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FD" w:rsidRDefault="00912BFD">
    <w:pPr>
      <w:pStyle w:val="Header"/>
    </w:pPr>
    <w:r>
      <w:rPr>
        <w:noProof/>
      </w:rPr>
      <w:drawing>
        <wp:anchor distT="0" distB="0" distL="114300" distR="114300" simplePos="0" relativeHeight="251658240" behindDoc="1" locked="0" layoutInCell="1" allowOverlap="1" wp14:anchorId="2AE7CD73" wp14:editId="19C17140">
          <wp:simplePos x="0" y="0"/>
          <wp:positionH relativeFrom="page">
            <wp:align>right</wp:align>
          </wp:positionH>
          <wp:positionV relativeFrom="page">
            <wp:align>top</wp:align>
          </wp:positionV>
          <wp:extent cx="7768738" cy="1362075"/>
          <wp:effectExtent l="0" t="0" r="0" b="0"/>
          <wp:wrapNone/>
          <wp:docPr id="1" name="Picture 1" descr="/Users/bradford/Desktop/Letterhead/Word To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adford/Desktop/Letterhead/Word Top.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738" cy="1362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23C66"/>
    <w:multiLevelType w:val="multilevel"/>
    <w:tmpl w:val="99524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7E"/>
    <w:rsid w:val="00002A1A"/>
    <w:rsid w:val="000439FD"/>
    <w:rsid w:val="00141B27"/>
    <w:rsid w:val="001877CA"/>
    <w:rsid w:val="001E7B2A"/>
    <w:rsid w:val="002507B0"/>
    <w:rsid w:val="002660C1"/>
    <w:rsid w:val="002B4546"/>
    <w:rsid w:val="002F0616"/>
    <w:rsid w:val="003528B7"/>
    <w:rsid w:val="0038119C"/>
    <w:rsid w:val="003939AC"/>
    <w:rsid w:val="003A2BC3"/>
    <w:rsid w:val="003C0DFB"/>
    <w:rsid w:val="003C6A04"/>
    <w:rsid w:val="003F6893"/>
    <w:rsid w:val="0041736B"/>
    <w:rsid w:val="0044334A"/>
    <w:rsid w:val="004D477E"/>
    <w:rsid w:val="004F0064"/>
    <w:rsid w:val="004F2CBF"/>
    <w:rsid w:val="00513960"/>
    <w:rsid w:val="005F22D6"/>
    <w:rsid w:val="00601A2C"/>
    <w:rsid w:val="00613A3B"/>
    <w:rsid w:val="006171CE"/>
    <w:rsid w:val="006311A4"/>
    <w:rsid w:val="006A7637"/>
    <w:rsid w:val="00732D19"/>
    <w:rsid w:val="007439F5"/>
    <w:rsid w:val="00857BA7"/>
    <w:rsid w:val="008C4C3A"/>
    <w:rsid w:val="00912BFD"/>
    <w:rsid w:val="00A54D18"/>
    <w:rsid w:val="00B25C30"/>
    <w:rsid w:val="00B4255B"/>
    <w:rsid w:val="00C64265"/>
    <w:rsid w:val="00CF76EA"/>
    <w:rsid w:val="00D04DCA"/>
    <w:rsid w:val="00D71145"/>
    <w:rsid w:val="00E6298A"/>
    <w:rsid w:val="00F6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BA637F-0246-49CB-84C3-2BF6C32D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FD"/>
    <w:pPr>
      <w:tabs>
        <w:tab w:val="center" w:pos="4680"/>
        <w:tab w:val="right" w:pos="9360"/>
      </w:tabs>
    </w:pPr>
  </w:style>
  <w:style w:type="character" w:customStyle="1" w:styleId="HeaderChar">
    <w:name w:val="Header Char"/>
    <w:basedOn w:val="DefaultParagraphFont"/>
    <w:link w:val="Header"/>
    <w:uiPriority w:val="99"/>
    <w:rsid w:val="00912BFD"/>
  </w:style>
  <w:style w:type="paragraph" w:styleId="Footer">
    <w:name w:val="footer"/>
    <w:basedOn w:val="Normal"/>
    <w:link w:val="FooterChar"/>
    <w:uiPriority w:val="99"/>
    <w:unhideWhenUsed/>
    <w:rsid w:val="00912BFD"/>
    <w:pPr>
      <w:tabs>
        <w:tab w:val="center" w:pos="4680"/>
        <w:tab w:val="right" w:pos="9360"/>
      </w:tabs>
    </w:pPr>
  </w:style>
  <w:style w:type="character" w:customStyle="1" w:styleId="FooterChar">
    <w:name w:val="Footer Char"/>
    <w:basedOn w:val="DefaultParagraphFont"/>
    <w:link w:val="Footer"/>
    <w:uiPriority w:val="99"/>
    <w:rsid w:val="00912BFD"/>
  </w:style>
  <w:style w:type="paragraph" w:styleId="NormalWeb">
    <w:name w:val="Normal (Web)"/>
    <w:basedOn w:val="Normal"/>
    <w:uiPriority w:val="99"/>
    <w:unhideWhenUsed/>
    <w:rsid w:val="00613A3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54D18"/>
    <w:pPr>
      <w:ind w:left="720"/>
      <w:contextualSpacing/>
    </w:pPr>
  </w:style>
  <w:style w:type="character" w:customStyle="1" w:styleId="fontstyle01">
    <w:name w:val="fontstyle01"/>
    <w:basedOn w:val="DefaultParagraphFont"/>
    <w:rsid w:val="006A7637"/>
    <w:rPr>
      <w:rFonts w:ascii="ArialNarrow" w:hAnsi="ArialNarrow" w:hint="default"/>
      <w:b w:val="0"/>
      <w:bCs w:val="0"/>
      <w:i w:val="0"/>
      <w:iCs w:val="0"/>
      <w:color w:val="000000"/>
      <w:sz w:val="24"/>
      <w:szCs w:val="24"/>
    </w:rPr>
  </w:style>
  <w:style w:type="character" w:customStyle="1" w:styleId="fontstyle21">
    <w:name w:val="fontstyle21"/>
    <w:basedOn w:val="DefaultParagraphFont"/>
    <w:rsid w:val="006A7637"/>
    <w:rPr>
      <w:rFonts w:ascii="ArialNarrow-Bold" w:hAnsi="ArialNarrow-Bold" w:hint="default"/>
      <w:b/>
      <w:bCs/>
      <w:i w:val="0"/>
      <w:iCs w:val="0"/>
      <w:color w:val="000000"/>
      <w:sz w:val="24"/>
      <w:szCs w:val="24"/>
    </w:rPr>
  </w:style>
  <w:style w:type="table" w:styleId="TableGrid">
    <w:name w:val="Table Grid"/>
    <w:basedOn w:val="TableNormal"/>
    <w:uiPriority w:val="59"/>
    <w:rsid w:val="00601A2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93071">
      <w:bodyDiv w:val="1"/>
      <w:marLeft w:val="0"/>
      <w:marRight w:val="0"/>
      <w:marTop w:val="0"/>
      <w:marBottom w:val="0"/>
      <w:divBdr>
        <w:top w:val="none" w:sz="0" w:space="0" w:color="auto"/>
        <w:left w:val="none" w:sz="0" w:space="0" w:color="auto"/>
        <w:bottom w:val="none" w:sz="0" w:space="0" w:color="auto"/>
        <w:right w:val="none" w:sz="0" w:space="0" w:color="auto"/>
      </w:divBdr>
      <w:divsChild>
        <w:div w:id="750548615">
          <w:marLeft w:val="0"/>
          <w:marRight w:val="0"/>
          <w:marTop w:val="0"/>
          <w:marBottom w:val="0"/>
          <w:divBdr>
            <w:top w:val="none" w:sz="0" w:space="0" w:color="auto"/>
            <w:left w:val="none" w:sz="0" w:space="0" w:color="auto"/>
            <w:bottom w:val="none" w:sz="0" w:space="0" w:color="auto"/>
            <w:right w:val="none" w:sz="0" w:space="0" w:color="auto"/>
          </w:divBdr>
        </w:div>
        <w:div w:id="989821243">
          <w:marLeft w:val="0"/>
          <w:marRight w:val="0"/>
          <w:marTop w:val="0"/>
          <w:marBottom w:val="0"/>
          <w:divBdr>
            <w:top w:val="none" w:sz="0" w:space="0" w:color="auto"/>
            <w:left w:val="none" w:sz="0" w:space="0" w:color="auto"/>
            <w:bottom w:val="none" w:sz="0" w:space="0" w:color="auto"/>
            <w:right w:val="none" w:sz="0" w:space="0" w:color="auto"/>
          </w:divBdr>
        </w:div>
        <w:div w:id="29456871">
          <w:marLeft w:val="0"/>
          <w:marRight w:val="0"/>
          <w:marTop w:val="0"/>
          <w:marBottom w:val="0"/>
          <w:divBdr>
            <w:top w:val="none" w:sz="0" w:space="0" w:color="auto"/>
            <w:left w:val="none" w:sz="0" w:space="0" w:color="auto"/>
            <w:bottom w:val="none" w:sz="0" w:space="0" w:color="auto"/>
            <w:right w:val="none" w:sz="0" w:space="0" w:color="auto"/>
          </w:divBdr>
        </w:div>
        <w:div w:id="1377317003">
          <w:marLeft w:val="0"/>
          <w:marRight w:val="0"/>
          <w:marTop w:val="0"/>
          <w:marBottom w:val="0"/>
          <w:divBdr>
            <w:top w:val="none" w:sz="0" w:space="0" w:color="auto"/>
            <w:left w:val="none" w:sz="0" w:space="0" w:color="auto"/>
            <w:bottom w:val="none" w:sz="0" w:space="0" w:color="auto"/>
            <w:right w:val="none" w:sz="0" w:space="0" w:color="auto"/>
          </w:divBdr>
        </w:div>
        <w:div w:id="1306348566">
          <w:marLeft w:val="0"/>
          <w:marRight w:val="0"/>
          <w:marTop w:val="0"/>
          <w:marBottom w:val="0"/>
          <w:divBdr>
            <w:top w:val="none" w:sz="0" w:space="0" w:color="auto"/>
            <w:left w:val="none" w:sz="0" w:space="0" w:color="auto"/>
            <w:bottom w:val="none" w:sz="0" w:space="0" w:color="auto"/>
            <w:right w:val="none" w:sz="0" w:space="0" w:color="auto"/>
          </w:divBdr>
        </w:div>
      </w:divsChild>
    </w:div>
    <w:div w:id="376127485">
      <w:bodyDiv w:val="1"/>
      <w:marLeft w:val="0"/>
      <w:marRight w:val="0"/>
      <w:marTop w:val="0"/>
      <w:marBottom w:val="0"/>
      <w:divBdr>
        <w:top w:val="none" w:sz="0" w:space="0" w:color="auto"/>
        <w:left w:val="none" w:sz="0" w:space="0" w:color="auto"/>
        <w:bottom w:val="none" w:sz="0" w:space="0" w:color="auto"/>
        <w:right w:val="none" w:sz="0" w:space="0" w:color="auto"/>
      </w:divBdr>
    </w:div>
    <w:div w:id="519666873">
      <w:bodyDiv w:val="1"/>
      <w:marLeft w:val="0"/>
      <w:marRight w:val="0"/>
      <w:marTop w:val="0"/>
      <w:marBottom w:val="0"/>
      <w:divBdr>
        <w:top w:val="none" w:sz="0" w:space="0" w:color="auto"/>
        <w:left w:val="none" w:sz="0" w:space="0" w:color="auto"/>
        <w:bottom w:val="none" w:sz="0" w:space="0" w:color="auto"/>
        <w:right w:val="none" w:sz="0" w:space="0" w:color="auto"/>
      </w:divBdr>
      <w:divsChild>
        <w:div w:id="1421632847">
          <w:marLeft w:val="0"/>
          <w:marRight w:val="0"/>
          <w:marTop w:val="0"/>
          <w:marBottom w:val="0"/>
          <w:divBdr>
            <w:top w:val="none" w:sz="0" w:space="0" w:color="auto"/>
            <w:left w:val="none" w:sz="0" w:space="0" w:color="auto"/>
            <w:bottom w:val="none" w:sz="0" w:space="0" w:color="auto"/>
            <w:right w:val="none" w:sz="0" w:space="0" w:color="auto"/>
          </w:divBdr>
        </w:div>
        <w:div w:id="465200386">
          <w:marLeft w:val="0"/>
          <w:marRight w:val="0"/>
          <w:marTop w:val="0"/>
          <w:marBottom w:val="0"/>
          <w:divBdr>
            <w:top w:val="none" w:sz="0" w:space="0" w:color="auto"/>
            <w:left w:val="none" w:sz="0" w:space="0" w:color="auto"/>
            <w:bottom w:val="none" w:sz="0" w:space="0" w:color="auto"/>
            <w:right w:val="none" w:sz="0" w:space="0" w:color="auto"/>
          </w:divBdr>
        </w:div>
        <w:div w:id="476997937">
          <w:marLeft w:val="0"/>
          <w:marRight w:val="0"/>
          <w:marTop w:val="0"/>
          <w:marBottom w:val="0"/>
          <w:divBdr>
            <w:top w:val="none" w:sz="0" w:space="0" w:color="auto"/>
            <w:left w:val="none" w:sz="0" w:space="0" w:color="auto"/>
            <w:bottom w:val="none" w:sz="0" w:space="0" w:color="auto"/>
            <w:right w:val="none" w:sz="0" w:space="0" w:color="auto"/>
          </w:divBdr>
        </w:div>
        <w:div w:id="538202595">
          <w:marLeft w:val="0"/>
          <w:marRight w:val="0"/>
          <w:marTop w:val="0"/>
          <w:marBottom w:val="0"/>
          <w:divBdr>
            <w:top w:val="none" w:sz="0" w:space="0" w:color="auto"/>
            <w:left w:val="none" w:sz="0" w:space="0" w:color="auto"/>
            <w:bottom w:val="none" w:sz="0" w:space="0" w:color="auto"/>
            <w:right w:val="none" w:sz="0" w:space="0" w:color="auto"/>
          </w:divBdr>
        </w:div>
      </w:divsChild>
    </w:div>
    <w:div w:id="1626811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hudexchange.info/resources/documents/FY-2019-Renewal-Project-Application-Detailed-Instruction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AEH%20by%20Steven%20Berg.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udexchange.info/resource/2958/instructions-for-updating-the-project-applicant-profile/" TargetMode="External"/><Relationship Id="rId4" Type="http://schemas.openxmlformats.org/officeDocument/2006/relationships/webSettings" Target="webSettings.xml"/><Relationship Id="rId9" Type="http://schemas.openxmlformats.org/officeDocument/2006/relationships/hyperlink" Target="https://files.hudexchange.info/resources/documents/Consolidating-Eligible-Renewals-for-FY-2019-CoC-Program-Competitio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1.PEL\AppData\Local\Temp\RTFH_Letterhead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RTFH_Letterhead_Word_Template</Template>
  <TotalTime>51</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Pellegrino</dc:creator>
  <cp:keywords/>
  <dc:description/>
  <cp:lastModifiedBy>Carrie Stemrich</cp:lastModifiedBy>
  <cp:revision>16</cp:revision>
  <dcterms:created xsi:type="dcterms:W3CDTF">2019-07-22T06:40:00Z</dcterms:created>
  <dcterms:modified xsi:type="dcterms:W3CDTF">2019-07-22T23:00:00Z</dcterms:modified>
</cp:coreProperties>
</file>