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E5" w:rsidRDefault="00FF09CA" w:rsidP="00A7384B">
      <w:pPr>
        <w:pStyle w:val="BodyText"/>
        <w:spacing w:before="11"/>
        <w:ind w:left="180"/>
        <w:jc w:val="center"/>
        <w:rPr>
          <w:sz w:val="17"/>
        </w:rPr>
      </w:pPr>
      <w:r>
        <w:rPr>
          <w:noProof/>
        </w:rPr>
        <w:drawing>
          <wp:inline distT="0" distB="0" distL="0" distR="0">
            <wp:extent cx="5939623" cy="830271"/>
            <wp:effectExtent l="0" t="0" r="4445" b="8255"/>
            <wp:docPr id="2" name="Picture 2" descr="Description: RTFH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TFH_Bann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0757"/>
                    <a:stretch>
                      <a:fillRect/>
                    </a:stretch>
                  </pic:blipFill>
                  <pic:spPr bwMode="auto">
                    <a:xfrm>
                      <a:off x="0" y="0"/>
                      <a:ext cx="5976331" cy="835402"/>
                    </a:xfrm>
                    <a:prstGeom prst="rect">
                      <a:avLst/>
                    </a:prstGeom>
                    <a:noFill/>
                    <a:ln>
                      <a:noFill/>
                    </a:ln>
                  </pic:spPr>
                </pic:pic>
              </a:graphicData>
            </a:graphic>
          </wp:inline>
        </w:drawing>
      </w:r>
    </w:p>
    <w:p w:rsidR="00A7384B" w:rsidRDefault="001A786F" w:rsidP="00DA636D">
      <w:pPr>
        <w:spacing w:before="240" w:line="276" w:lineRule="auto"/>
        <w:ind w:left="3327" w:right="2693" w:hanging="634"/>
        <w:jc w:val="center"/>
        <w:rPr>
          <w:b/>
          <w:sz w:val="28"/>
        </w:rPr>
      </w:pPr>
      <w:r>
        <w:rPr>
          <w:b/>
          <w:sz w:val="28"/>
        </w:rPr>
        <w:t xml:space="preserve">FY 2017 CoC </w:t>
      </w:r>
      <w:r w:rsidR="00A7384B">
        <w:rPr>
          <w:b/>
          <w:sz w:val="28"/>
        </w:rPr>
        <w:t>Program Competition</w:t>
      </w:r>
    </w:p>
    <w:p w:rsidR="00E103E5" w:rsidRDefault="009D1E52" w:rsidP="00A7384B">
      <w:pPr>
        <w:spacing w:line="276" w:lineRule="auto"/>
        <w:ind w:left="3330" w:right="2691" w:hanging="638"/>
        <w:jc w:val="center"/>
        <w:rPr>
          <w:b/>
          <w:sz w:val="28"/>
        </w:rPr>
      </w:pPr>
      <w:r>
        <w:rPr>
          <w:b/>
          <w:sz w:val="28"/>
        </w:rPr>
        <w:t>NOFA Highlights</w:t>
      </w:r>
      <w:r w:rsidR="001A786F">
        <w:rPr>
          <w:rStyle w:val="FootnoteReference"/>
          <w:b/>
          <w:sz w:val="28"/>
        </w:rPr>
        <w:footnoteReference w:id="1"/>
      </w:r>
    </w:p>
    <w:p w:rsidR="00F507A1" w:rsidRDefault="00F507A1">
      <w:pPr>
        <w:pStyle w:val="BodyText"/>
        <w:spacing w:before="0" w:line="259" w:lineRule="auto"/>
        <w:ind w:left="100" w:right="129"/>
        <w:rPr>
          <w:sz w:val="22"/>
          <w:szCs w:val="22"/>
        </w:rPr>
      </w:pPr>
      <w:bookmarkStart w:id="0" w:name="_GoBack"/>
      <w:bookmarkEnd w:id="0"/>
    </w:p>
    <w:p w:rsidR="0061398D" w:rsidRPr="00481283" w:rsidRDefault="0061398D">
      <w:pPr>
        <w:pStyle w:val="BodyText"/>
        <w:spacing w:before="0" w:line="259" w:lineRule="auto"/>
        <w:ind w:left="100" w:right="129"/>
        <w:rPr>
          <w:sz w:val="22"/>
          <w:szCs w:val="22"/>
        </w:rPr>
      </w:pPr>
      <w:r w:rsidRPr="00481283">
        <w:rPr>
          <w:sz w:val="22"/>
          <w:szCs w:val="22"/>
        </w:rPr>
        <w:t>There are significant</w:t>
      </w:r>
      <w:r w:rsidR="009D1E52" w:rsidRPr="00481283">
        <w:rPr>
          <w:sz w:val="22"/>
          <w:szCs w:val="22"/>
        </w:rPr>
        <w:t xml:space="preserve"> changes</w:t>
      </w:r>
      <w:r w:rsidR="00F0297B" w:rsidRPr="00481283">
        <w:rPr>
          <w:sz w:val="22"/>
          <w:szCs w:val="22"/>
        </w:rPr>
        <w:t xml:space="preserve"> in the</w:t>
      </w:r>
      <w:r w:rsidR="00876EC2" w:rsidRPr="00481283">
        <w:rPr>
          <w:sz w:val="22"/>
          <w:szCs w:val="22"/>
        </w:rPr>
        <w:t xml:space="preserve"> U.S. Department of Housing and Urban Development</w:t>
      </w:r>
      <w:r w:rsidR="0083424E" w:rsidRPr="00481283">
        <w:rPr>
          <w:sz w:val="22"/>
          <w:szCs w:val="22"/>
        </w:rPr>
        <w:t xml:space="preserve"> (HUD)</w:t>
      </w:r>
      <w:r w:rsidR="00876EC2" w:rsidRPr="00481283">
        <w:rPr>
          <w:sz w:val="22"/>
          <w:szCs w:val="22"/>
        </w:rPr>
        <w:t>, C</w:t>
      </w:r>
      <w:r w:rsidR="00F0297B" w:rsidRPr="00481283">
        <w:rPr>
          <w:sz w:val="22"/>
          <w:szCs w:val="22"/>
        </w:rPr>
        <w:t>oC Program Competition NOFA (NOFA) for 2017</w:t>
      </w:r>
      <w:r w:rsidR="00287FE8" w:rsidRPr="00481283">
        <w:rPr>
          <w:sz w:val="22"/>
          <w:szCs w:val="22"/>
        </w:rPr>
        <w:t>.</w:t>
      </w:r>
      <w:r w:rsidR="00956EEE" w:rsidRPr="00481283">
        <w:rPr>
          <w:sz w:val="22"/>
          <w:szCs w:val="22"/>
        </w:rPr>
        <w:t xml:space="preserve">  </w:t>
      </w:r>
      <w:r w:rsidR="00287FE8" w:rsidRPr="00481283">
        <w:rPr>
          <w:sz w:val="22"/>
          <w:szCs w:val="22"/>
        </w:rPr>
        <w:t>This document provides a</w:t>
      </w:r>
      <w:r w:rsidR="00956EEE" w:rsidRPr="00481283">
        <w:rPr>
          <w:sz w:val="22"/>
          <w:szCs w:val="22"/>
        </w:rPr>
        <w:t xml:space="preserve"> summary of critical information and a detailed list</w:t>
      </w:r>
      <w:r w:rsidR="00287FE8" w:rsidRPr="00481283">
        <w:rPr>
          <w:sz w:val="22"/>
          <w:szCs w:val="22"/>
        </w:rPr>
        <w:t xml:space="preserve"> describing the major changes for this year.</w:t>
      </w:r>
      <w:r w:rsidRPr="00481283">
        <w:rPr>
          <w:sz w:val="22"/>
          <w:szCs w:val="22"/>
        </w:rPr>
        <w:t xml:space="preserve"> </w:t>
      </w:r>
    </w:p>
    <w:p w:rsidR="0061398D" w:rsidRPr="00481283" w:rsidRDefault="0061398D">
      <w:pPr>
        <w:pStyle w:val="BodyText"/>
        <w:spacing w:before="0" w:line="259" w:lineRule="auto"/>
        <w:ind w:left="100" w:right="129"/>
        <w:rPr>
          <w:sz w:val="22"/>
          <w:szCs w:val="22"/>
        </w:rPr>
      </w:pPr>
    </w:p>
    <w:p w:rsidR="00E103E5" w:rsidRPr="00481283" w:rsidRDefault="0061398D" w:rsidP="002133F5">
      <w:pPr>
        <w:pStyle w:val="BodyText"/>
        <w:spacing w:before="0" w:line="259" w:lineRule="auto"/>
        <w:ind w:left="100" w:right="129"/>
        <w:rPr>
          <w:sz w:val="22"/>
          <w:szCs w:val="22"/>
        </w:rPr>
      </w:pPr>
      <w:r w:rsidRPr="00481283">
        <w:rPr>
          <w:sz w:val="22"/>
          <w:szCs w:val="22"/>
        </w:rPr>
        <w:t>HUD provided</w:t>
      </w:r>
      <w:r w:rsidR="009D1E52" w:rsidRPr="00481283">
        <w:rPr>
          <w:sz w:val="22"/>
          <w:szCs w:val="22"/>
        </w:rPr>
        <w:t xml:space="preserve"> a list of the high-level c</w:t>
      </w:r>
      <w:r w:rsidR="002133F5">
        <w:rPr>
          <w:sz w:val="22"/>
          <w:szCs w:val="22"/>
        </w:rPr>
        <w:t xml:space="preserve">hanges and new information.  </w:t>
      </w:r>
      <w:r w:rsidRPr="00481283">
        <w:rPr>
          <w:sz w:val="22"/>
          <w:szCs w:val="22"/>
        </w:rPr>
        <w:t>Other c</w:t>
      </w:r>
      <w:r w:rsidR="00481283">
        <w:rPr>
          <w:sz w:val="22"/>
          <w:szCs w:val="22"/>
        </w:rPr>
        <w:t xml:space="preserve">ritical information or </w:t>
      </w:r>
      <w:r w:rsidRPr="00481283">
        <w:rPr>
          <w:sz w:val="22"/>
          <w:szCs w:val="22"/>
        </w:rPr>
        <w:t>actions required by the local San Diego RTFH Process have been added to the HUD document.</w:t>
      </w:r>
      <w:r w:rsidR="00287FE8" w:rsidRPr="00481283">
        <w:rPr>
          <w:sz w:val="22"/>
          <w:szCs w:val="22"/>
        </w:rPr>
        <w:t xml:space="preserve"> Details are provided in the chart following the critical information summary.</w:t>
      </w:r>
    </w:p>
    <w:p w:rsidR="00F0297B" w:rsidRPr="00481283" w:rsidRDefault="00F0297B" w:rsidP="00FF003C">
      <w:pPr>
        <w:pStyle w:val="Heading2"/>
        <w:spacing w:before="360"/>
        <w:rPr>
          <w:sz w:val="24"/>
          <w:szCs w:val="24"/>
        </w:rPr>
      </w:pPr>
      <w:r w:rsidRPr="00481283">
        <w:rPr>
          <w:sz w:val="24"/>
          <w:szCs w:val="24"/>
        </w:rPr>
        <w:t>Critical Information Summary</w:t>
      </w:r>
      <w:r w:rsidR="00A13AAD" w:rsidRPr="00481283">
        <w:rPr>
          <w:sz w:val="24"/>
          <w:szCs w:val="24"/>
        </w:rPr>
        <w:t xml:space="preserve"> – Regional Task Force on the Homeless, San Diego</w:t>
      </w:r>
    </w:p>
    <w:tbl>
      <w:tblPr>
        <w:tblStyle w:val="TableGrid"/>
        <w:tblW w:w="0" w:type="auto"/>
        <w:tblLook w:val="04A0"/>
      </w:tblPr>
      <w:tblGrid>
        <w:gridCol w:w="2538"/>
        <w:gridCol w:w="7638"/>
      </w:tblGrid>
      <w:tr w:rsidR="00F0297B" w:rsidTr="0044344C">
        <w:tc>
          <w:tcPr>
            <w:tcW w:w="2538" w:type="dxa"/>
            <w:vAlign w:val="center"/>
          </w:tcPr>
          <w:p w:rsidR="00F0297B" w:rsidRDefault="00F0297B" w:rsidP="0044344C">
            <w:r>
              <w:t>Funding Source</w:t>
            </w:r>
          </w:p>
        </w:tc>
        <w:tc>
          <w:tcPr>
            <w:tcW w:w="7638" w:type="dxa"/>
          </w:tcPr>
          <w:p w:rsidR="00F0297B" w:rsidRDefault="00856917" w:rsidP="00F0297B">
            <w:r>
              <w:t>HUD -</w:t>
            </w:r>
            <w:r w:rsidR="00F0297B">
              <w:t xml:space="preserve"> FY 2017 CoC Program Competition NOFA (NOFA)</w:t>
            </w:r>
          </w:p>
        </w:tc>
      </w:tr>
      <w:tr w:rsidR="00F0297B" w:rsidTr="0044344C">
        <w:tc>
          <w:tcPr>
            <w:tcW w:w="2538" w:type="dxa"/>
            <w:vAlign w:val="center"/>
          </w:tcPr>
          <w:p w:rsidR="00F0297B" w:rsidRDefault="00F0297B" w:rsidP="0044344C">
            <w:pPr>
              <w:pStyle w:val="BodyText"/>
              <w:spacing w:before="0" w:line="259" w:lineRule="auto"/>
              <w:ind w:right="129"/>
            </w:pPr>
            <w:r>
              <w:t xml:space="preserve">Funding Opportunity </w:t>
            </w:r>
          </w:p>
        </w:tc>
        <w:tc>
          <w:tcPr>
            <w:tcW w:w="7638" w:type="dxa"/>
          </w:tcPr>
          <w:p w:rsidR="00F0297B" w:rsidRDefault="00417E4E" w:rsidP="00F35912">
            <w:pPr>
              <w:pStyle w:val="BodyText"/>
              <w:spacing w:before="29"/>
              <w:ind w:right="107"/>
            </w:pPr>
            <w:r>
              <w:t>FR-6100-N-25</w:t>
            </w:r>
            <w:r w:rsidR="00F35912">
              <w:t xml:space="preserve"> </w:t>
            </w:r>
            <w:r w:rsidR="003C517D">
              <w:t>(</w:t>
            </w:r>
            <w:r w:rsidR="00F35912" w:rsidRPr="003C517D">
              <w:rPr>
                <w:sz w:val="20"/>
                <w:szCs w:val="20"/>
              </w:rPr>
              <w:t xml:space="preserve">This number is used during </w:t>
            </w:r>
            <w:r w:rsidRPr="003C517D">
              <w:rPr>
                <w:sz w:val="20"/>
                <w:szCs w:val="20"/>
              </w:rPr>
              <w:t>registration to apply for funds.</w:t>
            </w:r>
            <w:r w:rsidR="003C517D">
              <w:rPr>
                <w:sz w:val="20"/>
                <w:szCs w:val="20"/>
              </w:rPr>
              <w:t>)</w:t>
            </w:r>
          </w:p>
        </w:tc>
      </w:tr>
      <w:tr w:rsidR="003C517D" w:rsidTr="00DA636D">
        <w:trPr>
          <w:trHeight w:val="251"/>
        </w:trPr>
        <w:tc>
          <w:tcPr>
            <w:tcW w:w="2538" w:type="dxa"/>
          </w:tcPr>
          <w:p w:rsidR="003C517D" w:rsidRDefault="0086266B" w:rsidP="00DA636D">
            <w:r>
              <w:t>Catalog of Federal</w:t>
            </w:r>
            <w:r w:rsidR="003C517D">
              <w:t xml:space="preserve"> Domestic Assistance </w:t>
            </w:r>
          </w:p>
        </w:tc>
        <w:tc>
          <w:tcPr>
            <w:tcW w:w="7638" w:type="dxa"/>
            <w:vAlign w:val="center"/>
          </w:tcPr>
          <w:p w:rsidR="003C517D" w:rsidRDefault="003C517D" w:rsidP="003C517D">
            <w:r>
              <w:t>14.267   (</w:t>
            </w:r>
            <w:r w:rsidRPr="003C517D">
              <w:rPr>
                <w:sz w:val="20"/>
                <w:szCs w:val="20"/>
              </w:rPr>
              <w:t xml:space="preserve">This </w:t>
            </w:r>
            <w:r>
              <w:rPr>
                <w:sz w:val="20"/>
                <w:szCs w:val="20"/>
              </w:rPr>
              <w:t>number is needed on</w:t>
            </w:r>
            <w:r w:rsidRPr="003C517D">
              <w:rPr>
                <w:sz w:val="20"/>
                <w:szCs w:val="20"/>
              </w:rPr>
              <w:t xml:space="preserve"> standard forms in the application.</w:t>
            </w:r>
            <w:r>
              <w:rPr>
                <w:sz w:val="20"/>
                <w:szCs w:val="20"/>
              </w:rPr>
              <w:t>)</w:t>
            </w:r>
          </w:p>
        </w:tc>
      </w:tr>
      <w:tr w:rsidR="00481283" w:rsidTr="00DA636D">
        <w:trPr>
          <w:trHeight w:val="251"/>
        </w:trPr>
        <w:tc>
          <w:tcPr>
            <w:tcW w:w="2538" w:type="dxa"/>
          </w:tcPr>
          <w:p w:rsidR="00481283" w:rsidRDefault="003B2823" w:rsidP="00DA636D">
            <w:r>
              <w:t>Preliminary Prorata Need</w:t>
            </w:r>
          </w:p>
        </w:tc>
        <w:tc>
          <w:tcPr>
            <w:tcW w:w="7638" w:type="dxa"/>
            <w:vAlign w:val="center"/>
          </w:tcPr>
          <w:p w:rsidR="00481283" w:rsidRDefault="003B2823" w:rsidP="003776C6">
            <w:r>
              <w:t>$</w:t>
            </w:r>
            <w:r w:rsidR="003776C6">
              <w:t>15,802,180</w:t>
            </w:r>
          </w:p>
        </w:tc>
      </w:tr>
      <w:tr w:rsidR="00F0297B" w:rsidTr="0044344C">
        <w:tc>
          <w:tcPr>
            <w:tcW w:w="2538" w:type="dxa"/>
            <w:vAlign w:val="center"/>
          </w:tcPr>
          <w:p w:rsidR="00F0297B" w:rsidRDefault="00A4142F" w:rsidP="0044344C">
            <w:r>
              <w:t xml:space="preserve">Annual Renewal </w:t>
            </w:r>
            <w:r w:rsidR="00FF4BB2">
              <w:t>Demand</w:t>
            </w:r>
          </w:p>
        </w:tc>
        <w:tc>
          <w:tcPr>
            <w:tcW w:w="7638" w:type="dxa"/>
          </w:tcPr>
          <w:p w:rsidR="00F0297B" w:rsidRDefault="00532EC1" w:rsidP="002133F5">
            <w:r>
              <w:t>$17,708,276</w:t>
            </w:r>
            <w:r w:rsidR="003C517D">
              <w:t xml:space="preserve"> </w:t>
            </w:r>
            <w:r w:rsidR="00FF4BB2">
              <w:t xml:space="preserve"> </w:t>
            </w:r>
            <w:r w:rsidR="003C517D">
              <w:t xml:space="preserve"> </w:t>
            </w:r>
          </w:p>
        </w:tc>
      </w:tr>
      <w:tr w:rsidR="00F0297B" w:rsidTr="0044344C">
        <w:tc>
          <w:tcPr>
            <w:tcW w:w="2538" w:type="dxa"/>
            <w:vAlign w:val="center"/>
          </w:tcPr>
          <w:p w:rsidR="00F0297B" w:rsidRDefault="00F0297B" w:rsidP="0044344C">
            <w:r>
              <w:t xml:space="preserve">Tier 1 </w:t>
            </w:r>
            <w:r w:rsidR="0086266B">
              <w:t xml:space="preserve"> </w:t>
            </w:r>
            <w:r>
              <w:t>Amount</w:t>
            </w:r>
          </w:p>
        </w:tc>
        <w:tc>
          <w:tcPr>
            <w:tcW w:w="7638" w:type="dxa"/>
          </w:tcPr>
          <w:p w:rsidR="00F0297B" w:rsidRDefault="00532EC1" w:rsidP="00F0297B">
            <w:r>
              <w:t>$16,645,779</w:t>
            </w:r>
            <w:r w:rsidR="002133F5">
              <w:t xml:space="preserve">   </w:t>
            </w:r>
            <w:r w:rsidR="002133F5" w:rsidRPr="003C517D">
              <w:rPr>
                <w:sz w:val="20"/>
                <w:szCs w:val="20"/>
              </w:rPr>
              <w:t>(2017 has a new method to calculate</w:t>
            </w:r>
            <w:r w:rsidR="002133F5">
              <w:rPr>
                <w:sz w:val="20"/>
                <w:szCs w:val="20"/>
              </w:rPr>
              <w:t xml:space="preserve"> Tier 1</w:t>
            </w:r>
            <w:r w:rsidR="002133F5" w:rsidRPr="003C517D">
              <w:rPr>
                <w:sz w:val="20"/>
                <w:szCs w:val="20"/>
              </w:rPr>
              <w:t>)</w:t>
            </w:r>
          </w:p>
        </w:tc>
      </w:tr>
      <w:tr w:rsidR="00F0297B" w:rsidTr="0044344C">
        <w:tc>
          <w:tcPr>
            <w:tcW w:w="2538" w:type="dxa"/>
            <w:vAlign w:val="center"/>
          </w:tcPr>
          <w:p w:rsidR="00F0297B" w:rsidRDefault="00F0297B" w:rsidP="0044344C">
            <w:r>
              <w:t xml:space="preserve">Tier 2 </w:t>
            </w:r>
            <w:r w:rsidR="00532EC1">
              <w:t xml:space="preserve"> ARD </w:t>
            </w:r>
            <w:r>
              <w:t>Amount</w:t>
            </w:r>
          </w:p>
        </w:tc>
        <w:tc>
          <w:tcPr>
            <w:tcW w:w="7638" w:type="dxa"/>
          </w:tcPr>
          <w:p w:rsidR="00F0297B" w:rsidRDefault="00532EC1" w:rsidP="00F0297B">
            <w:r>
              <w:t>$1,062,497</w:t>
            </w:r>
          </w:p>
        </w:tc>
      </w:tr>
      <w:tr w:rsidR="00F0297B" w:rsidTr="0044344C">
        <w:tc>
          <w:tcPr>
            <w:tcW w:w="2538" w:type="dxa"/>
            <w:vAlign w:val="center"/>
          </w:tcPr>
          <w:p w:rsidR="00F0297B" w:rsidRDefault="00F0297B" w:rsidP="0044344C">
            <w:r>
              <w:t>Potential Bonus Amount</w:t>
            </w:r>
          </w:p>
        </w:tc>
        <w:tc>
          <w:tcPr>
            <w:tcW w:w="7638" w:type="dxa"/>
          </w:tcPr>
          <w:p w:rsidR="00F0297B" w:rsidRDefault="003776C6" w:rsidP="00F0297B">
            <w:r>
              <w:t>$1,062,497</w:t>
            </w:r>
            <w:r w:rsidR="0086266B">
              <w:t xml:space="preserve">    </w:t>
            </w:r>
            <w:r w:rsidR="0086266B" w:rsidRPr="0086266B">
              <w:rPr>
                <w:sz w:val="20"/>
                <w:szCs w:val="20"/>
              </w:rPr>
              <w:t xml:space="preserve">(6% of </w:t>
            </w:r>
            <w:r w:rsidR="00810AA3">
              <w:rPr>
                <w:sz w:val="20"/>
                <w:szCs w:val="20"/>
              </w:rPr>
              <w:t>final prorata need)</w:t>
            </w:r>
          </w:p>
        </w:tc>
      </w:tr>
      <w:tr w:rsidR="00DA636D" w:rsidTr="0044344C">
        <w:tc>
          <w:tcPr>
            <w:tcW w:w="2538" w:type="dxa"/>
            <w:vAlign w:val="center"/>
          </w:tcPr>
          <w:p w:rsidR="00DA636D" w:rsidRDefault="00DA636D" w:rsidP="0044344C">
            <w:r>
              <w:t>Planning Grant</w:t>
            </w:r>
          </w:p>
        </w:tc>
        <w:tc>
          <w:tcPr>
            <w:tcW w:w="7638" w:type="dxa"/>
          </w:tcPr>
          <w:p w:rsidR="00DA636D" w:rsidRDefault="003776C6" w:rsidP="00F35912">
            <w:r>
              <w:t>$ 531,248</w:t>
            </w:r>
            <w:r w:rsidR="0086266B">
              <w:t xml:space="preserve">      </w:t>
            </w:r>
            <w:r w:rsidR="0086266B" w:rsidRPr="0086266B">
              <w:rPr>
                <w:sz w:val="20"/>
                <w:szCs w:val="20"/>
              </w:rPr>
              <w:t>(3% of final prorata need)</w:t>
            </w:r>
          </w:p>
        </w:tc>
      </w:tr>
      <w:tr w:rsidR="00F0297B" w:rsidTr="0044344C">
        <w:tc>
          <w:tcPr>
            <w:tcW w:w="2538" w:type="dxa"/>
            <w:vAlign w:val="center"/>
          </w:tcPr>
          <w:p w:rsidR="00F0297B" w:rsidRDefault="00F0297B" w:rsidP="0044344C">
            <w:r>
              <w:t>Eligible Renewal Projects</w:t>
            </w:r>
          </w:p>
        </w:tc>
        <w:tc>
          <w:tcPr>
            <w:tcW w:w="7638" w:type="dxa"/>
          </w:tcPr>
          <w:p w:rsidR="00F0297B" w:rsidRDefault="00F35912" w:rsidP="0086266B">
            <w:r>
              <w:t xml:space="preserve">Only projects </w:t>
            </w:r>
            <w:r w:rsidR="00F0297B">
              <w:t xml:space="preserve">on the approved </w:t>
            </w:r>
            <w:r>
              <w:t xml:space="preserve">Grant Inventory Worksheet (GIW), expiring in </w:t>
            </w:r>
            <w:r w:rsidR="00F0297B">
              <w:t xml:space="preserve">2018 are eligible to apply for renewal funds. </w:t>
            </w:r>
            <w:r>
              <w:t xml:space="preserve">Renewal </w:t>
            </w:r>
            <w:r w:rsidR="0086266B">
              <w:t>applications</w:t>
            </w:r>
            <w:r>
              <w:t xml:space="preserve"> are not guaranteed funding. </w:t>
            </w:r>
            <w:r w:rsidR="00F0297B">
              <w:t xml:space="preserve">All projects are subject to </w:t>
            </w:r>
            <w:r w:rsidR="00C00CF6">
              <w:t>revie</w:t>
            </w:r>
            <w:r w:rsidR="00F0297B">
              <w:t>w and scoring.</w:t>
            </w:r>
          </w:p>
        </w:tc>
      </w:tr>
      <w:tr w:rsidR="00F0297B" w:rsidTr="0044344C">
        <w:tc>
          <w:tcPr>
            <w:tcW w:w="2538" w:type="dxa"/>
            <w:vAlign w:val="center"/>
          </w:tcPr>
          <w:p w:rsidR="00F0297B" w:rsidRDefault="00F0297B" w:rsidP="0044344C">
            <w:r>
              <w:t>NEW project types</w:t>
            </w:r>
          </w:p>
        </w:tc>
        <w:tc>
          <w:tcPr>
            <w:tcW w:w="7638" w:type="dxa"/>
          </w:tcPr>
          <w:p w:rsidR="00F0297B" w:rsidRDefault="00D848BE" w:rsidP="00414098">
            <w:r>
              <w:t>More new project options: PSH; PSH DedicatedPlus, Joint TH-RRH, RRH,</w:t>
            </w:r>
            <w:r w:rsidR="001160AD">
              <w:t xml:space="preserve"> HMIS</w:t>
            </w:r>
            <w:r>
              <w:t xml:space="preserve"> </w:t>
            </w:r>
          </w:p>
        </w:tc>
      </w:tr>
      <w:tr w:rsidR="00F0297B" w:rsidTr="0044344C">
        <w:tc>
          <w:tcPr>
            <w:tcW w:w="2538" w:type="dxa"/>
            <w:vAlign w:val="center"/>
          </w:tcPr>
          <w:p w:rsidR="00F0297B" w:rsidRDefault="00F0297B" w:rsidP="0044344C">
            <w:r>
              <w:t>NEW terms and concepts</w:t>
            </w:r>
          </w:p>
        </w:tc>
        <w:tc>
          <w:tcPr>
            <w:tcW w:w="7638" w:type="dxa"/>
          </w:tcPr>
          <w:p w:rsidR="00F0297B" w:rsidRDefault="002F56AC" w:rsidP="00F0297B">
            <w:r>
              <w:t>DedicatedPlus;  Joint</w:t>
            </w:r>
            <w:r w:rsidR="00CB7FB4">
              <w:t xml:space="preserve"> </w:t>
            </w:r>
            <w:r w:rsidR="00DF227B">
              <w:t>TH-RRH;</w:t>
            </w:r>
            <w:r w:rsidR="00905FE0">
              <w:t xml:space="preserve"> </w:t>
            </w:r>
          </w:p>
        </w:tc>
      </w:tr>
      <w:tr w:rsidR="002133F5" w:rsidTr="0044344C">
        <w:tc>
          <w:tcPr>
            <w:tcW w:w="2538" w:type="dxa"/>
            <w:vAlign w:val="center"/>
          </w:tcPr>
          <w:p w:rsidR="002133F5" w:rsidRDefault="002133F5" w:rsidP="0044344C">
            <w:r>
              <w:t xml:space="preserve">VAWA </w:t>
            </w:r>
            <w:r w:rsidR="001128AE">
              <w:t>Compliance</w:t>
            </w:r>
          </w:p>
        </w:tc>
        <w:tc>
          <w:tcPr>
            <w:tcW w:w="7638" w:type="dxa"/>
          </w:tcPr>
          <w:p w:rsidR="002133F5" w:rsidRDefault="00314A82" w:rsidP="00314A82">
            <w:r>
              <w:t xml:space="preserve">The RTFH-SD must develop a </w:t>
            </w:r>
            <w:r w:rsidR="00934E54">
              <w:t xml:space="preserve">Emergency Transfer Plan for VAWA compliance  prior to </w:t>
            </w:r>
            <w:r>
              <w:t>execution of any awards under this NOFA .</w:t>
            </w:r>
          </w:p>
        </w:tc>
      </w:tr>
      <w:tr w:rsidR="00F0297B" w:rsidTr="0044344C">
        <w:tc>
          <w:tcPr>
            <w:tcW w:w="2538" w:type="dxa"/>
            <w:vAlign w:val="center"/>
          </w:tcPr>
          <w:p w:rsidR="00F0297B" w:rsidRDefault="00CB7FB4" w:rsidP="0044344C">
            <w:r>
              <w:t>System Mandates</w:t>
            </w:r>
          </w:p>
        </w:tc>
        <w:tc>
          <w:tcPr>
            <w:tcW w:w="7638" w:type="dxa"/>
          </w:tcPr>
          <w:p w:rsidR="00F0297B" w:rsidRDefault="00CB7FB4" w:rsidP="00314A82">
            <w:r>
              <w:t xml:space="preserve">HMIS, Coordinated Entry System (CES), Housing First and Low Barrier housing approaches, </w:t>
            </w:r>
            <w:r w:rsidR="00314A82">
              <w:t xml:space="preserve">RTFH Written </w:t>
            </w:r>
            <w:r>
              <w:t>Standard</w:t>
            </w:r>
            <w:r w:rsidR="00314A82">
              <w:t>s, VAWA, and regulatory assurances</w:t>
            </w:r>
          </w:p>
        </w:tc>
      </w:tr>
      <w:tr w:rsidR="00F0297B" w:rsidTr="0044344C">
        <w:tc>
          <w:tcPr>
            <w:tcW w:w="2538" w:type="dxa"/>
            <w:vAlign w:val="center"/>
          </w:tcPr>
          <w:p w:rsidR="00F0297B" w:rsidRDefault="009A0EB9" w:rsidP="009A0EB9">
            <w:r>
              <w:t xml:space="preserve">Increased </w:t>
            </w:r>
            <w:r w:rsidR="00107DAE">
              <w:t xml:space="preserve">program </w:t>
            </w:r>
            <w:r>
              <w:t>flexibility</w:t>
            </w:r>
          </w:p>
        </w:tc>
        <w:tc>
          <w:tcPr>
            <w:tcW w:w="7638" w:type="dxa"/>
          </w:tcPr>
          <w:p w:rsidR="00F0297B" w:rsidRDefault="00F35912" w:rsidP="00107DAE">
            <w:r>
              <w:t>Two ways to expand existing projects</w:t>
            </w:r>
            <w:r w:rsidR="00107DAE">
              <w:t>; able to change certain program classifications or targets groups through the application process.</w:t>
            </w:r>
          </w:p>
        </w:tc>
      </w:tr>
      <w:tr w:rsidR="009A0EB9" w:rsidTr="0044344C">
        <w:tc>
          <w:tcPr>
            <w:tcW w:w="2538" w:type="dxa"/>
            <w:vAlign w:val="center"/>
          </w:tcPr>
          <w:p w:rsidR="009A0EB9" w:rsidRDefault="009A0EB9" w:rsidP="0044344C">
            <w:r>
              <w:t xml:space="preserve">Expanded </w:t>
            </w:r>
            <w:r w:rsidR="00F35912">
              <w:t>RRH</w:t>
            </w:r>
            <w:r>
              <w:t xml:space="preserve"> groups</w:t>
            </w:r>
          </w:p>
        </w:tc>
        <w:tc>
          <w:tcPr>
            <w:tcW w:w="7638" w:type="dxa"/>
          </w:tcPr>
          <w:p w:rsidR="009A0EB9" w:rsidRDefault="00F35912" w:rsidP="00F0297B">
            <w:r>
              <w:t>RRH target population restrictions have been reduced</w:t>
            </w:r>
          </w:p>
        </w:tc>
      </w:tr>
      <w:tr w:rsidR="009A0EB9" w:rsidTr="0044344C">
        <w:tc>
          <w:tcPr>
            <w:tcW w:w="2538" w:type="dxa"/>
            <w:vAlign w:val="center"/>
          </w:tcPr>
          <w:p w:rsidR="009A0EB9" w:rsidRDefault="001128AE" w:rsidP="00F35912">
            <w:r>
              <w:t>New f</w:t>
            </w:r>
            <w:r w:rsidR="00F35912">
              <w:t>orms requirements</w:t>
            </w:r>
            <w:r w:rsidR="009A0EB9">
              <w:t xml:space="preserve"> </w:t>
            </w:r>
          </w:p>
        </w:tc>
        <w:tc>
          <w:tcPr>
            <w:tcW w:w="7638" w:type="dxa"/>
          </w:tcPr>
          <w:p w:rsidR="009A0EB9" w:rsidRDefault="009A0EB9" w:rsidP="00F0297B">
            <w:r w:rsidRPr="001001E4">
              <w:rPr>
                <w:i/>
              </w:rPr>
              <w:t xml:space="preserve">Forms </w:t>
            </w:r>
            <w:r w:rsidR="00F35912" w:rsidRPr="001001E4">
              <w:rPr>
                <w:i/>
              </w:rPr>
              <w:t xml:space="preserve">are </w:t>
            </w:r>
            <w:r w:rsidRPr="001001E4">
              <w:rPr>
                <w:i/>
              </w:rPr>
              <w:t>required prior to accessing</w:t>
            </w:r>
            <w:r w:rsidR="00F35912" w:rsidRPr="001001E4">
              <w:rPr>
                <w:i/>
              </w:rPr>
              <w:t xml:space="preserve"> the application in e-Snaps</w:t>
            </w:r>
            <w:r w:rsidR="00F35912">
              <w:t>. New certifications have been added.</w:t>
            </w:r>
          </w:p>
        </w:tc>
      </w:tr>
      <w:tr w:rsidR="00F35912" w:rsidTr="0044344C">
        <w:tc>
          <w:tcPr>
            <w:tcW w:w="2538" w:type="dxa"/>
            <w:vAlign w:val="center"/>
          </w:tcPr>
          <w:p w:rsidR="00F35912" w:rsidRDefault="00F35912" w:rsidP="00F35912">
            <w:r>
              <w:t>Code of Conduct Updates</w:t>
            </w:r>
          </w:p>
        </w:tc>
        <w:tc>
          <w:tcPr>
            <w:tcW w:w="7638" w:type="dxa"/>
          </w:tcPr>
          <w:p w:rsidR="00F35912" w:rsidRDefault="006C5405" w:rsidP="006C5405">
            <w:r>
              <w:t>HUD removed</w:t>
            </w:r>
            <w:r w:rsidR="00F35912">
              <w:t xml:space="preserve"> </w:t>
            </w:r>
            <w:r>
              <w:t>the Code of Conduct for many agencies</w:t>
            </w:r>
            <w:r w:rsidR="00F35912">
              <w:t xml:space="preserve"> from the website. New codes forms, meeting new requirements must be included in the applicant profile.</w:t>
            </w:r>
          </w:p>
        </w:tc>
      </w:tr>
      <w:tr w:rsidR="005956AC" w:rsidTr="0044344C">
        <w:tc>
          <w:tcPr>
            <w:tcW w:w="2538" w:type="dxa"/>
            <w:vAlign w:val="center"/>
          </w:tcPr>
          <w:p w:rsidR="005956AC" w:rsidRDefault="005956AC" w:rsidP="00314A82">
            <w:r>
              <w:t>DUNS and System Award Management</w:t>
            </w:r>
          </w:p>
        </w:tc>
        <w:tc>
          <w:tcPr>
            <w:tcW w:w="7638" w:type="dxa"/>
          </w:tcPr>
          <w:p w:rsidR="005956AC" w:rsidRDefault="005956AC" w:rsidP="00314A82">
            <w:r>
              <w:t>All applicants must have a D</w:t>
            </w:r>
            <w:r w:rsidR="00314A82">
              <w:t xml:space="preserve">ata Universal Numbering System (DUNS) </w:t>
            </w:r>
            <w:r>
              <w:t>number</w:t>
            </w:r>
            <w:r w:rsidR="008C5246">
              <w:t xml:space="preserve"> and have a</w:t>
            </w:r>
            <w:r>
              <w:t xml:space="preserve"> current, active registration in the </w:t>
            </w:r>
            <w:r w:rsidR="00314A82">
              <w:t>System for Award Management (</w:t>
            </w:r>
            <w:r>
              <w:t>SAM</w:t>
            </w:r>
            <w:r w:rsidR="00314A82">
              <w:t>)</w:t>
            </w:r>
          </w:p>
        </w:tc>
      </w:tr>
      <w:tr w:rsidR="002133F5" w:rsidTr="0044344C">
        <w:tc>
          <w:tcPr>
            <w:tcW w:w="2538" w:type="dxa"/>
            <w:vAlign w:val="center"/>
          </w:tcPr>
          <w:p w:rsidR="002133F5" w:rsidRDefault="002133F5" w:rsidP="005956AC">
            <w:r>
              <w:t>Environmental Review</w:t>
            </w:r>
          </w:p>
        </w:tc>
        <w:tc>
          <w:tcPr>
            <w:tcW w:w="7638" w:type="dxa"/>
          </w:tcPr>
          <w:p w:rsidR="002133F5" w:rsidRDefault="002133F5" w:rsidP="006C5405">
            <w:r>
              <w:t>Environmental Review exclusions are expanded</w:t>
            </w:r>
          </w:p>
        </w:tc>
      </w:tr>
      <w:tr w:rsidR="007A183A" w:rsidTr="0044344C">
        <w:tc>
          <w:tcPr>
            <w:tcW w:w="2538" w:type="dxa"/>
            <w:vAlign w:val="center"/>
          </w:tcPr>
          <w:p w:rsidR="007A183A" w:rsidRPr="008F4180" w:rsidRDefault="007A183A" w:rsidP="005956AC">
            <w:pPr>
              <w:rPr>
                <w:b/>
                <w:i/>
              </w:rPr>
            </w:pPr>
            <w:r w:rsidRPr="008F4180">
              <w:rPr>
                <w:b/>
                <w:i/>
              </w:rPr>
              <w:t>Local Process</w:t>
            </w:r>
          </w:p>
        </w:tc>
        <w:tc>
          <w:tcPr>
            <w:tcW w:w="7638" w:type="dxa"/>
          </w:tcPr>
          <w:p w:rsidR="007A183A" w:rsidRPr="008F4180" w:rsidRDefault="007A183A" w:rsidP="006C5405">
            <w:pPr>
              <w:rPr>
                <w:b/>
                <w:i/>
              </w:rPr>
            </w:pPr>
            <w:r w:rsidRPr="008F4180">
              <w:rPr>
                <w:b/>
                <w:i/>
              </w:rPr>
              <w:t>Watch for information distributed via website or email.</w:t>
            </w:r>
          </w:p>
        </w:tc>
      </w:tr>
    </w:tbl>
    <w:p w:rsidR="0040577E" w:rsidRDefault="0040577E">
      <w:pPr>
        <w:pStyle w:val="BodyText"/>
        <w:spacing w:before="5" w:after="1"/>
        <w:rPr>
          <w:sz w:val="14"/>
        </w:rPr>
        <w:sectPr w:rsidR="0040577E" w:rsidSect="00DA636D">
          <w:headerReference w:type="even" r:id="rId9"/>
          <w:headerReference w:type="default" r:id="rId10"/>
          <w:footerReference w:type="default" r:id="rId11"/>
          <w:headerReference w:type="first" r:id="rId12"/>
          <w:pgSz w:w="12240" w:h="15840"/>
          <w:pgMar w:top="270" w:right="1140" w:bottom="1340" w:left="1140" w:header="0" w:footer="973" w:gutter="0"/>
          <w:cols w:space="720"/>
          <w:docGrid w:linePitch="299"/>
        </w:sectPr>
      </w:pPr>
    </w:p>
    <w:tbl>
      <w:tblPr>
        <w:tblpPr w:leftFromText="180" w:rightFromText="180" w:vertAnchor="text" w:horzAnchor="margin"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2"/>
        <w:gridCol w:w="11023"/>
        <w:gridCol w:w="10"/>
      </w:tblGrid>
      <w:tr w:rsidR="00F507A1" w:rsidTr="00F507A1">
        <w:trPr>
          <w:gridAfter w:val="1"/>
          <w:wAfter w:w="10" w:type="dxa"/>
          <w:trHeight w:val="587"/>
        </w:trPr>
        <w:tc>
          <w:tcPr>
            <w:tcW w:w="1932" w:type="dxa"/>
            <w:vAlign w:val="center"/>
          </w:tcPr>
          <w:p w:rsidR="00F507A1" w:rsidRPr="0040577E" w:rsidRDefault="00F507A1" w:rsidP="00F507A1">
            <w:pPr>
              <w:pStyle w:val="TableParagraph"/>
              <w:shd w:val="clear" w:color="auto" w:fill="F2F2F2" w:themeFill="background1" w:themeFillShade="F2"/>
              <w:spacing w:line="273" w:lineRule="exact"/>
              <w:rPr>
                <w:b/>
                <w:sz w:val="24"/>
              </w:rPr>
            </w:pPr>
            <w:r w:rsidRPr="0040577E">
              <w:rPr>
                <w:b/>
                <w:sz w:val="24"/>
              </w:rPr>
              <w:lastRenderedPageBreak/>
              <w:t>Topic</w:t>
            </w:r>
          </w:p>
        </w:tc>
        <w:tc>
          <w:tcPr>
            <w:tcW w:w="11023" w:type="dxa"/>
            <w:vAlign w:val="center"/>
          </w:tcPr>
          <w:p w:rsidR="00F507A1" w:rsidRDefault="00F507A1" w:rsidP="00F507A1">
            <w:pPr>
              <w:pStyle w:val="TableParagraph"/>
              <w:shd w:val="clear" w:color="auto" w:fill="F2F2F2" w:themeFill="background1" w:themeFillShade="F2"/>
              <w:spacing w:line="273" w:lineRule="exact"/>
              <w:rPr>
                <w:sz w:val="24"/>
              </w:rPr>
            </w:pPr>
            <w:r>
              <w:rPr>
                <w:b/>
                <w:sz w:val="24"/>
              </w:rPr>
              <w:t>FY 2017 CoC  Program Competition NOFA Section(s) and Notes</w:t>
            </w:r>
          </w:p>
        </w:tc>
      </w:tr>
      <w:tr w:rsidR="00F507A1" w:rsidTr="00F507A1">
        <w:trPr>
          <w:trHeight w:val="2234"/>
        </w:trPr>
        <w:tc>
          <w:tcPr>
            <w:tcW w:w="1932" w:type="dxa"/>
          </w:tcPr>
          <w:p w:rsidR="00F507A1" w:rsidRPr="0040577E" w:rsidRDefault="00F507A1" w:rsidP="00F507A1">
            <w:pPr>
              <w:pStyle w:val="TableParagraph"/>
              <w:ind w:left="102" w:right="515"/>
              <w:rPr>
                <w:b/>
                <w:sz w:val="24"/>
              </w:rPr>
            </w:pPr>
            <w:r w:rsidRPr="0040577E">
              <w:rPr>
                <w:b/>
                <w:sz w:val="24"/>
              </w:rPr>
              <w:t>Local Competition Deadlines</w:t>
            </w:r>
          </w:p>
        </w:tc>
        <w:tc>
          <w:tcPr>
            <w:tcW w:w="11033" w:type="dxa"/>
            <w:gridSpan w:val="2"/>
          </w:tcPr>
          <w:p w:rsidR="00F507A1" w:rsidRPr="00856917" w:rsidRDefault="00F507A1" w:rsidP="00F507A1">
            <w:pPr>
              <w:pStyle w:val="TableParagraph"/>
              <w:ind w:right="132"/>
              <w:rPr>
                <w:i/>
                <w:sz w:val="24"/>
              </w:rPr>
            </w:pPr>
            <w:r>
              <w:rPr>
                <w:sz w:val="24"/>
              </w:rPr>
              <w:t xml:space="preserve">The NOFA requires organizations to submit their applications to the CoC in e-Snaps at least 30 days before the application deadline. It also requires CoCs to notify the applicant in writing whether the project will be included in the CoC submission to HUD at least15 days before the deadline. In 2017, </w:t>
            </w:r>
            <w:r w:rsidRPr="003C5DE4">
              <w:rPr>
                <w:i/>
                <w:sz w:val="24"/>
              </w:rPr>
              <w:t>each applicant</w:t>
            </w:r>
            <w:r>
              <w:rPr>
                <w:sz w:val="24"/>
              </w:rPr>
              <w:t xml:space="preserve"> must be notified. </w:t>
            </w:r>
            <w:r w:rsidRPr="00856917">
              <w:rPr>
                <w:i/>
                <w:sz w:val="24"/>
              </w:rPr>
              <w:t xml:space="preserve">Previously, notices were only required for the projects that were not being included in the </w:t>
            </w:r>
            <w:r>
              <w:rPr>
                <w:i/>
                <w:sz w:val="24"/>
              </w:rPr>
              <w:t>a</w:t>
            </w:r>
            <w:r w:rsidRPr="00856917">
              <w:rPr>
                <w:i/>
                <w:sz w:val="24"/>
              </w:rPr>
              <w:t>pplication to HUD.</w:t>
            </w:r>
          </w:p>
          <w:p w:rsidR="00F507A1" w:rsidRPr="00856917" w:rsidRDefault="00F507A1" w:rsidP="00F507A1">
            <w:pPr>
              <w:pStyle w:val="TableParagraph"/>
              <w:ind w:right="132"/>
              <w:rPr>
                <w:i/>
                <w:sz w:val="24"/>
              </w:rPr>
            </w:pPr>
          </w:p>
          <w:p w:rsidR="00F507A1" w:rsidRPr="00314A82" w:rsidRDefault="00F507A1" w:rsidP="00F507A1">
            <w:pPr>
              <w:pStyle w:val="TableParagraph"/>
              <w:ind w:right="132"/>
              <w:rPr>
                <w:b/>
                <w:i/>
                <w:color w:val="FF0000"/>
                <w:sz w:val="24"/>
              </w:rPr>
            </w:pPr>
            <w:r w:rsidRPr="00314A82">
              <w:rPr>
                <w:b/>
                <w:i/>
                <w:color w:val="FF0000"/>
                <w:sz w:val="24"/>
              </w:rPr>
              <w:t>In San Diego due dates are adjusted to allow for a local appeals process.  As a result, the San Diego region application due date is more than 30 days in advance of submission to HUD.</w:t>
            </w:r>
            <w:r w:rsidR="0037338E">
              <w:rPr>
                <w:b/>
                <w:i/>
                <w:color w:val="FF0000"/>
                <w:sz w:val="24"/>
              </w:rPr>
              <w:t xml:space="preserve"> A local calendar of due dates will be posted on the RTFH website.</w:t>
            </w:r>
          </w:p>
        </w:tc>
      </w:tr>
      <w:tr w:rsidR="00F507A1" w:rsidTr="00F507A1">
        <w:trPr>
          <w:trHeight w:val="540"/>
        </w:trPr>
        <w:tc>
          <w:tcPr>
            <w:tcW w:w="1932" w:type="dxa"/>
          </w:tcPr>
          <w:p w:rsidR="00F507A1" w:rsidRPr="0040577E" w:rsidRDefault="00F507A1" w:rsidP="00F507A1">
            <w:pPr>
              <w:pStyle w:val="TableParagraph"/>
              <w:spacing w:line="273" w:lineRule="exact"/>
              <w:ind w:left="102"/>
              <w:rPr>
                <w:b/>
                <w:sz w:val="24"/>
              </w:rPr>
            </w:pPr>
            <w:r w:rsidRPr="0040577E">
              <w:rPr>
                <w:b/>
                <w:sz w:val="24"/>
              </w:rPr>
              <w:t>Policy Priorities</w:t>
            </w:r>
          </w:p>
        </w:tc>
        <w:tc>
          <w:tcPr>
            <w:tcW w:w="11033" w:type="dxa"/>
            <w:gridSpan w:val="2"/>
          </w:tcPr>
          <w:p w:rsidR="00F507A1" w:rsidRDefault="00F507A1" w:rsidP="00F507A1">
            <w:pPr>
              <w:pStyle w:val="TableParagraph"/>
              <w:spacing w:line="268" w:lineRule="exact"/>
              <w:rPr>
                <w:sz w:val="24"/>
              </w:rPr>
            </w:pPr>
            <w:r>
              <w:rPr>
                <w:sz w:val="24"/>
              </w:rPr>
              <w:t>The policy priorities are described with less detail than in previous years. 1) Ending homelessness remains the</w:t>
            </w:r>
            <w:r>
              <w:t xml:space="preserve"> </w:t>
            </w:r>
            <w:r>
              <w:rPr>
                <w:sz w:val="24"/>
              </w:rPr>
              <w:t>target; 2) creating a systemic response; 3) strategic allocation and resource use, and 4) the Housing First approach.</w:t>
            </w:r>
          </w:p>
        </w:tc>
      </w:tr>
      <w:tr w:rsidR="00F507A1" w:rsidTr="00F507A1">
        <w:trPr>
          <w:trHeight w:val="1136"/>
        </w:trPr>
        <w:tc>
          <w:tcPr>
            <w:tcW w:w="1932" w:type="dxa"/>
          </w:tcPr>
          <w:p w:rsidR="00F507A1" w:rsidRPr="0040577E" w:rsidRDefault="00F507A1" w:rsidP="00F507A1">
            <w:pPr>
              <w:pStyle w:val="TableParagraph"/>
              <w:ind w:left="0"/>
            </w:pPr>
          </w:p>
        </w:tc>
        <w:tc>
          <w:tcPr>
            <w:tcW w:w="11033" w:type="dxa"/>
            <w:gridSpan w:val="2"/>
          </w:tcPr>
          <w:p w:rsidR="00F507A1" w:rsidRPr="003C5DE4" w:rsidRDefault="00F507A1" w:rsidP="00F507A1">
            <w:pPr>
              <w:pStyle w:val="TableParagraph"/>
              <w:spacing w:before="8" w:line="264" w:lineRule="exact"/>
              <w:rPr>
                <w:i/>
                <w:sz w:val="24"/>
              </w:rPr>
            </w:pPr>
            <w:r w:rsidRPr="003C5DE4">
              <w:rPr>
                <w:i/>
                <w:sz w:val="24"/>
              </w:rPr>
              <w:t>RTFH local priorities are further described:  1) adherence to Homeless Management of Information System (HMIS) policies and Procedures, 2) active participation in the Coordinated Entry System (CES), 3) Housing First and low-barrier housing approaches, 4) commitment to RTFH CoC Standards, and 5) program and participant preferences in accordance with Board policies and aligned with HUD CPD Notice 16-11.</w:t>
            </w:r>
          </w:p>
        </w:tc>
      </w:tr>
      <w:tr w:rsidR="00F507A1" w:rsidTr="00F507A1">
        <w:trPr>
          <w:trHeight w:val="2882"/>
        </w:trPr>
        <w:tc>
          <w:tcPr>
            <w:tcW w:w="1932" w:type="dxa"/>
          </w:tcPr>
          <w:p w:rsidR="00F507A1" w:rsidRPr="0040577E" w:rsidRDefault="00F507A1" w:rsidP="00F507A1">
            <w:pPr>
              <w:pStyle w:val="TableParagraph"/>
              <w:ind w:left="102" w:right="148"/>
              <w:rPr>
                <w:b/>
                <w:sz w:val="24"/>
              </w:rPr>
            </w:pPr>
            <w:r>
              <w:rPr>
                <w:b/>
                <w:sz w:val="24"/>
              </w:rPr>
              <w:t>N</w:t>
            </w:r>
            <w:r w:rsidRPr="0040577E">
              <w:rPr>
                <w:b/>
                <w:sz w:val="24"/>
              </w:rPr>
              <w:t>ew projects created through reallocation</w:t>
            </w:r>
          </w:p>
        </w:tc>
        <w:tc>
          <w:tcPr>
            <w:tcW w:w="11033" w:type="dxa"/>
            <w:gridSpan w:val="2"/>
          </w:tcPr>
          <w:p w:rsidR="00F507A1" w:rsidRDefault="00F507A1" w:rsidP="00F507A1">
            <w:pPr>
              <w:pStyle w:val="TableParagraph"/>
              <w:spacing w:line="268" w:lineRule="exact"/>
              <w:rPr>
                <w:sz w:val="24"/>
              </w:rPr>
            </w:pPr>
            <w:r>
              <w:rPr>
                <w:i/>
                <w:sz w:val="24"/>
              </w:rPr>
              <w:t xml:space="preserve">More </w:t>
            </w:r>
            <w:r w:rsidRPr="00287FE8">
              <w:rPr>
                <w:i/>
                <w:sz w:val="24"/>
              </w:rPr>
              <w:t>types of new project applications</w:t>
            </w:r>
            <w:r>
              <w:rPr>
                <w:sz w:val="24"/>
              </w:rPr>
              <w:t xml:space="preserve"> created through reallocation are allowed:`</w:t>
            </w:r>
          </w:p>
          <w:p w:rsidR="00F507A1" w:rsidRPr="00287FE8" w:rsidRDefault="00F507A1" w:rsidP="00F507A1">
            <w:pPr>
              <w:pStyle w:val="TableParagraph"/>
              <w:ind w:left="0"/>
              <w:rPr>
                <w:b/>
                <w:sz w:val="24"/>
              </w:rPr>
            </w:pPr>
          </w:p>
          <w:p w:rsidR="00F507A1" w:rsidRDefault="0037338E" w:rsidP="00F507A1">
            <w:pPr>
              <w:pStyle w:val="TableParagraph"/>
              <w:numPr>
                <w:ilvl w:val="0"/>
                <w:numId w:val="7"/>
              </w:numPr>
              <w:tabs>
                <w:tab w:val="left" w:pos="343"/>
              </w:tabs>
              <w:ind w:left="332" w:right="584" w:hanging="229"/>
              <w:rPr>
                <w:sz w:val="24"/>
              </w:rPr>
            </w:pPr>
            <w:r>
              <w:rPr>
                <w:sz w:val="24"/>
              </w:rPr>
              <w:t>P</w:t>
            </w:r>
            <w:r w:rsidR="00F507A1" w:rsidRPr="00905FE0">
              <w:rPr>
                <w:sz w:val="24"/>
              </w:rPr>
              <w:t>ermanent supportive housing projects</w:t>
            </w:r>
            <w:r w:rsidR="00F507A1">
              <w:rPr>
                <w:sz w:val="24"/>
              </w:rPr>
              <w:t xml:space="preserve"> (PSH), </w:t>
            </w:r>
            <w:r w:rsidR="00F507A1" w:rsidRPr="00905FE0">
              <w:rPr>
                <w:sz w:val="24"/>
              </w:rPr>
              <w:t>meet</w:t>
            </w:r>
            <w:r w:rsidR="00F507A1">
              <w:rPr>
                <w:sz w:val="24"/>
              </w:rPr>
              <w:t>ing</w:t>
            </w:r>
            <w:r w:rsidR="00F507A1" w:rsidRPr="00905FE0">
              <w:rPr>
                <w:sz w:val="24"/>
              </w:rPr>
              <w:t xml:space="preserve"> </w:t>
            </w:r>
            <w:r w:rsidR="00F507A1">
              <w:rPr>
                <w:sz w:val="24"/>
              </w:rPr>
              <w:t>DedicatedPLUS rules or the standard 100</w:t>
            </w:r>
            <w:r>
              <w:rPr>
                <w:sz w:val="24"/>
              </w:rPr>
              <w:t>%</w:t>
            </w:r>
            <w:r w:rsidR="00F507A1">
              <w:rPr>
                <w:sz w:val="24"/>
              </w:rPr>
              <w:t xml:space="preserve"> dedicated for chronically homeless persons;</w:t>
            </w:r>
          </w:p>
          <w:p w:rsidR="00F507A1" w:rsidRDefault="0037338E" w:rsidP="00F507A1">
            <w:pPr>
              <w:pStyle w:val="TableParagraph"/>
              <w:numPr>
                <w:ilvl w:val="0"/>
                <w:numId w:val="7"/>
              </w:numPr>
              <w:tabs>
                <w:tab w:val="left" w:pos="343"/>
              </w:tabs>
              <w:ind w:left="332" w:right="678" w:hanging="229"/>
              <w:rPr>
                <w:sz w:val="24"/>
              </w:rPr>
            </w:pPr>
            <w:r>
              <w:rPr>
                <w:sz w:val="24"/>
              </w:rPr>
              <w:t>R</w:t>
            </w:r>
            <w:r w:rsidR="00F507A1">
              <w:rPr>
                <w:sz w:val="24"/>
              </w:rPr>
              <w:t>apid rehousing projects (RRH) for individuals and families, including</w:t>
            </w:r>
            <w:r w:rsidR="00F507A1">
              <w:rPr>
                <w:spacing w:val="-23"/>
                <w:sz w:val="24"/>
              </w:rPr>
              <w:t xml:space="preserve"> </w:t>
            </w:r>
            <w:r w:rsidR="00F507A1">
              <w:rPr>
                <w:sz w:val="24"/>
              </w:rPr>
              <w:t>unaccompanied youth who meet the NOFA criteria;</w:t>
            </w:r>
          </w:p>
          <w:p w:rsidR="00F507A1" w:rsidRDefault="00F507A1" w:rsidP="00F507A1">
            <w:pPr>
              <w:pStyle w:val="TableParagraph"/>
              <w:numPr>
                <w:ilvl w:val="0"/>
                <w:numId w:val="7"/>
              </w:numPr>
              <w:tabs>
                <w:tab w:val="left" w:pos="343"/>
              </w:tabs>
              <w:ind w:left="332" w:hanging="229"/>
              <w:rPr>
                <w:sz w:val="24"/>
              </w:rPr>
            </w:pPr>
            <w:r>
              <w:rPr>
                <w:sz w:val="24"/>
              </w:rPr>
              <w:t>Joint TH and PH-RRH component</w:t>
            </w:r>
            <w:r>
              <w:rPr>
                <w:spacing w:val="-14"/>
                <w:sz w:val="24"/>
              </w:rPr>
              <w:t xml:space="preserve"> </w:t>
            </w:r>
            <w:r>
              <w:rPr>
                <w:sz w:val="24"/>
              </w:rPr>
              <w:t>projects;</w:t>
            </w:r>
          </w:p>
          <w:p w:rsidR="00F507A1" w:rsidRDefault="00F507A1" w:rsidP="00F507A1">
            <w:pPr>
              <w:pStyle w:val="TableParagraph"/>
              <w:numPr>
                <w:ilvl w:val="0"/>
                <w:numId w:val="7"/>
              </w:numPr>
              <w:tabs>
                <w:tab w:val="left" w:pos="343"/>
              </w:tabs>
              <w:ind w:left="332" w:hanging="229"/>
              <w:rPr>
                <w:sz w:val="24"/>
              </w:rPr>
            </w:pPr>
            <w:r>
              <w:rPr>
                <w:sz w:val="24"/>
              </w:rPr>
              <w:t>Dedicated HMIS;</w:t>
            </w:r>
            <w:r>
              <w:rPr>
                <w:spacing w:val="-8"/>
                <w:sz w:val="24"/>
              </w:rPr>
              <w:t xml:space="preserve"> </w:t>
            </w:r>
            <w:r>
              <w:rPr>
                <w:sz w:val="24"/>
              </w:rPr>
              <w:t>and</w:t>
            </w:r>
          </w:p>
          <w:p w:rsidR="00F507A1" w:rsidRDefault="00F507A1" w:rsidP="00F507A1">
            <w:pPr>
              <w:pStyle w:val="TableParagraph"/>
              <w:numPr>
                <w:ilvl w:val="0"/>
                <w:numId w:val="7"/>
              </w:numPr>
              <w:tabs>
                <w:tab w:val="left" w:pos="343"/>
              </w:tabs>
              <w:spacing w:line="270" w:lineRule="atLeast"/>
              <w:ind w:left="332" w:right="805" w:hanging="229"/>
              <w:rPr>
                <w:sz w:val="24"/>
              </w:rPr>
            </w:pPr>
            <w:r>
              <w:rPr>
                <w:sz w:val="24"/>
              </w:rPr>
              <w:t xml:space="preserve">Supportive services to develop or operate </w:t>
            </w:r>
            <w:r w:rsidRPr="003C5DE4">
              <w:rPr>
                <w:sz w:val="24"/>
              </w:rPr>
              <w:t>a</w:t>
            </w:r>
            <w:r w:rsidRPr="003C5DE4">
              <w:rPr>
                <w:sz w:val="24"/>
                <w:u w:val="single"/>
              </w:rPr>
              <w:t xml:space="preserve"> new</w:t>
            </w:r>
            <w:r>
              <w:rPr>
                <w:sz w:val="24"/>
              </w:rPr>
              <w:t xml:space="preserve"> coordinated assessment system (Coordinated Entry System or CES in San Diego)</w:t>
            </w:r>
          </w:p>
        </w:tc>
      </w:tr>
      <w:tr w:rsidR="00F507A1" w:rsidTr="00F507A1">
        <w:trPr>
          <w:trHeight w:val="1523"/>
        </w:trPr>
        <w:tc>
          <w:tcPr>
            <w:tcW w:w="1932" w:type="dxa"/>
          </w:tcPr>
          <w:p w:rsidR="00F507A1" w:rsidRPr="0040577E" w:rsidRDefault="00F507A1" w:rsidP="00F507A1">
            <w:pPr>
              <w:pStyle w:val="TableParagraph"/>
              <w:ind w:left="102" w:right="148"/>
              <w:rPr>
                <w:b/>
                <w:sz w:val="24"/>
              </w:rPr>
            </w:pPr>
            <w:r w:rsidRPr="0040577E">
              <w:rPr>
                <w:b/>
                <w:sz w:val="24"/>
              </w:rPr>
              <w:t>New projects created through permanent housing bonus</w:t>
            </w:r>
          </w:p>
        </w:tc>
        <w:tc>
          <w:tcPr>
            <w:tcW w:w="11033" w:type="dxa"/>
            <w:gridSpan w:val="2"/>
          </w:tcPr>
          <w:p w:rsidR="00F507A1" w:rsidRDefault="00F507A1" w:rsidP="00F507A1">
            <w:pPr>
              <w:pStyle w:val="TableParagraph"/>
              <w:ind w:right="259"/>
              <w:rPr>
                <w:sz w:val="24"/>
              </w:rPr>
            </w:pPr>
            <w:r>
              <w:rPr>
                <w:sz w:val="24"/>
              </w:rPr>
              <w:t>New permanent housing bonus projects (up</w:t>
            </w:r>
            <w:r w:rsidR="008E5B3A">
              <w:rPr>
                <w:sz w:val="24"/>
              </w:rPr>
              <w:t xml:space="preserve"> to 6</w:t>
            </w:r>
            <w:r w:rsidR="0037338E">
              <w:rPr>
                <w:sz w:val="24"/>
              </w:rPr>
              <w:t>%</w:t>
            </w:r>
            <w:r w:rsidR="008E5B3A">
              <w:rPr>
                <w:sz w:val="24"/>
              </w:rPr>
              <w:t xml:space="preserve"> of the Final</w:t>
            </w:r>
            <w:r>
              <w:rPr>
                <w:sz w:val="24"/>
              </w:rPr>
              <w:t xml:space="preserve"> Prorata Need):</w:t>
            </w:r>
          </w:p>
          <w:p w:rsidR="00F507A1" w:rsidRDefault="00F507A1" w:rsidP="00F507A1">
            <w:pPr>
              <w:pStyle w:val="TableParagraph"/>
              <w:spacing w:before="8"/>
              <w:ind w:left="0"/>
              <w:rPr>
                <w:sz w:val="24"/>
              </w:rPr>
            </w:pPr>
          </w:p>
          <w:p w:rsidR="00F507A1" w:rsidRDefault="00F507A1" w:rsidP="00F507A1">
            <w:pPr>
              <w:pStyle w:val="TableParagraph"/>
              <w:numPr>
                <w:ilvl w:val="0"/>
                <w:numId w:val="6"/>
              </w:numPr>
              <w:tabs>
                <w:tab w:val="left" w:pos="343"/>
              </w:tabs>
              <w:ind w:left="332" w:right="584" w:hanging="229"/>
              <w:rPr>
                <w:sz w:val="24"/>
              </w:rPr>
            </w:pPr>
            <w:r>
              <w:rPr>
                <w:sz w:val="24"/>
              </w:rPr>
              <w:t xml:space="preserve">PSH meeting DedicatedPLUS rules or 100% dedicated for chronically homeless </w:t>
            </w:r>
          </w:p>
          <w:p w:rsidR="00F507A1" w:rsidRDefault="00F507A1" w:rsidP="00F507A1">
            <w:pPr>
              <w:pStyle w:val="TableParagraph"/>
              <w:numPr>
                <w:ilvl w:val="0"/>
                <w:numId w:val="6"/>
              </w:numPr>
              <w:tabs>
                <w:tab w:val="left" w:pos="343"/>
              </w:tabs>
              <w:ind w:left="332" w:right="678" w:hanging="229"/>
              <w:rPr>
                <w:sz w:val="24"/>
              </w:rPr>
            </w:pPr>
            <w:r>
              <w:rPr>
                <w:sz w:val="24"/>
              </w:rPr>
              <w:t>RRH households who meet the criteria outlined in the NOFA;</w:t>
            </w:r>
            <w:r>
              <w:rPr>
                <w:spacing w:val="-17"/>
                <w:sz w:val="24"/>
              </w:rPr>
              <w:t xml:space="preserve"> </w:t>
            </w:r>
            <w:r>
              <w:rPr>
                <w:sz w:val="24"/>
              </w:rPr>
              <w:t>and</w:t>
            </w:r>
          </w:p>
          <w:p w:rsidR="00F507A1" w:rsidRDefault="00F507A1" w:rsidP="00F507A1">
            <w:pPr>
              <w:pStyle w:val="TableParagraph"/>
              <w:numPr>
                <w:ilvl w:val="0"/>
                <w:numId w:val="6"/>
              </w:numPr>
              <w:tabs>
                <w:tab w:val="left" w:pos="343"/>
              </w:tabs>
              <w:spacing w:line="264" w:lineRule="exact"/>
              <w:ind w:left="332" w:hanging="229"/>
              <w:rPr>
                <w:sz w:val="24"/>
              </w:rPr>
            </w:pPr>
            <w:r>
              <w:rPr>
                <w:sz w:val="24"/>
              </w:rPr>
              <w:t>Joint TH and PH-RRH component</w:t>
            </w:r>
            <w:r>
              <w:rPr>
                <w:spacing w:val="-14"/>
                <w:sz w:val="24"/>
              </w:rPr>
              <w:t xml:space="preserve"> </w:t>
            </w:r>
            <w:r>
              <w:rPr>
                <w:sz w:val="24"/>
              </w:rPr>
              <w:t>projects.</w:t>
            </w:r>
          </w:p>
        </w:tc>
      </w:tr>
      <w:tr w:rsidR="0037338E" w:rsidTr="001C65E7">
        <w:trPr>
          <w:trHeight w:val="2507"/>
        </w:trPr>
        <w:tc>
          <w:tcPr>
            <w:tcW w:w="1932" w:type="dxa"/>
          </w:tcPr>
          <w:p w:rsidR="0037338E" w:rsidRPr="0040577E" w:rsidRDefault="0037338E" w:rsidP="00F507A1">
            <w:pPr>
              <w:pStyle w:val="TableParagraph"/>
              <w:ind w:left="102" w:right="147"/>
              <w:rPr>
                <w:b/>
                <w:sz w:val="24"/>
              </w:rPr>
            </w:pPr>
            <w:r w:rsidRPr="0040577E">
              <w:rPr>
                <w:b/>
                <w:sz w:val="24"/>
              </w:rPr>
              <w:lastRenderedPageBreak/>
              <w:t>Expanding CoC Program- funded projects</w:t>
            </w:r>
          </w:p>
        </w:tc>
        <w:tc>
          <w:tcPr>
            <w:tcW w:w="11033" w:type="dxa"/>
            <w:gridSpan w:val="2"/>
          </w:tcPr>
          <w:p w:rsidR="0037338E" w:rsidRDefault="0037338E" w:rsidP="00F507A1">
            <w:pPr>
              <w:pStyle w:val="TableParagraph"/>
              <w:ind w:right="200"/>
              <w:rPr>
                <w:sz w:val="24"/>
              </w:rPr>
            </w:pPr>
            <w:r>
              <w:rPr>
                <w:sz w:val="24"/>
              </w:rPr>
              <w:t xml:space="preserve">HUD introduced a new way to expand CoC Program-funded projects which allows an eligible renewal project to expand units, beds, persons, or services through the reallocation process or permanent housing bonus. A new project application is required and only available to the type of projects allowed as new projects. Transitional housing, supportive services only (non-coordinated entry) and Safe Haven projects are </w:t>
            </w:r>
            <w:r w:rsidRPr="005B750C">
              <w:rPr>
                <w:sz w:val="24"/>
                <w:u w:val="single"/>
              </w:rPr>
              <w:t>not</w:t>
            </w:r>
            <w:r>
              <w:rPr>
                <w:sz w:val="24"/>
              </w:rPr>
              <w:t xml:space="preserve"> eligible as new projects. </w:t>
            </w:r>
          </w:p>
          <w:p w:rsidR="0037338E" w:rsidRDefault="0037338E" w:rsidP="00F507A1">
            <w:pPr>
              <w:pStyle w:val="TableParagraph"/>
              <w:spacing w:line="268" w:lineRule="exact"/>
              <w:rPr>
                <w:sz w:val="24"/>
              </w:rPr>
            </w:pPr>
          </w:p>
          <w:p w:rsidR="0037338E" w:rsidRPr="005B750C" w:rsidRDefault="0037338E" w:rsidP="00F507A1">
            <w:pPr>
              <w:pStyle w:val="TableParagraph"/>
              <w:spacing w:line="268" w:lineRule="exact"/>
              <w:rPr>
                <w:i/>
                <w:sz w:val="24"/>
              </w:rPr>
            </w:pPr>
            <w:r w:rsidRPr="005B750C">
              <w:rPr>
                <w:i/>
                <w:sz w:val="24"/>
              </w:rPr>
              <w:t>This is similar to the ‘self-reallocation</w:t>
            </w:r>
            <w:r>
              <w:rPr>
                <w:i/>
                <w:sz w:val="24"/>
              </w:rPr>
              <w:t>’</w:t>
            </w:r>
            <w:r w:rsidRPr="005B750C">
              <w:rPr>
                <w:i/>
                <w:sz w:val="24"/>
              </w:rPr>
              <w:t xml:space="preserve"> process used in San Diego.</w:t>
            </w:r>
          </w:p>
          <w:p w:rsidR="0037338E" w:rsidRDefault="0037338E" w:rsidP="00B43FFF">
            <w:pPr>
              <w:pStyle w:val="TableParagraph"/>
              <w:spacing w:line="276" w:lineRule="exact"/>
              <w:ind w:right="446"/>
              <w:rPr>
                <w:sz w:val="24"/>
              </w:rPr>
            </w:pPr>
          </w:p>
          <w:p w:rsidR="0037338E" w:rsidRPr="005B750C" w:rsidRDefault="0037338E" w:rsidP="00B43FFF">
            <w:pPr>
              <w:pStyle w:val="TableParagraph"/>
              <w:spacing w:line="276" w:lineRule="exact"/>
              <w:ind w:right="446"/>
              <w:rPr>
                <w:i/>
                <w:sz w:val="24"/>
              </w:rPr>
            </w:pPr>
            <w:r>
              <w:rPr>
                <w:sz w:val="24"/>
              </w:rPr>
              <w:t xml:space="preserve">Project applicants can also </w:t>
            </w:r>
            <w:r w:rsidRPr="00FB1D1F">
              <w:rPr>
                <w:i/>
                <w:sz w:val="24"/>
              </w:rPr>
              <w:t>expand a project</w:t>
            </w:r>
            <w:r>
              <w:rPr>
                <w:sz w:val="24"/>
              </w:rPr>
              <w:t xml:space="preserve"> under the traditional method, e.g., expand an existing project funded through other sources with a request for CoC Program funds to add persons, units, or services.  </w:t>
            </w:r>
          </w:p>
        </w:tc>
      </w:tr>
      <w:tr w:rsidR="00F507A1" w:rsidTr="00F507A1">
        <w:trPr>
          <w:trHeight w:val="884"/>
        </w:trPr>
        <w:tc>
          <w:tcPr>
            <w:tcW w:w="1932" w:type="dxa"/>
          </w:tcPr>
          <w:p w:rsidR="00F507A1" w:rsidRPr="0040577E" w:rsidRDefault="00F507A1" w:rsidP="00F507A1">
            <w:pPr>
              <w:pStyle w:val="TableParagraph"/>
              <w:ind w:left="102" w:right="228"/>
              <w:rPr>
                <w:b/>
                <w:sz w:val="24"/>
              </w:rPr>
            </w:pPr>
            <w:r>
              <w:rPr>
                <w:b/>
                <w:sz w:val="24"/>
              </w:rPr>
              <w:t>Tier 1 Amount</w:t>
            </w:r>
          </w:p>
        </w:tc>
        <w:tc>
          <w:tcPr>
            <w:tcW w:w="11033" w:type="dxa"/>
            <w:gridSpan w:val="2"/>
          </w:tcPr>
          <w:p w:rsidR="00F507A1" w:rsidRDefault="00F507A1" w:rsidP="0037338E">
            <w:pPr>
              <w:pStyle w:val="TableParagraph"/>
              <w:ind w:right="330"/>
              <w:jc w:val="both"/>
              <w:rPr>
                <w:sz w:val="24"/>
              </w:rPr>
            </w:pPr>
            <w:r>
              <w:rPr>
                <w:sz w:val="24"/>
              </w:rPr>
              <w:t>Tier 1 is equal to the greater of the combined amount of Annual Renewal Amount (ARA) for all permanent housing and HMIS projects eligible for renewal up to $1,000,000 or 94</w:t>
            </w:r>
            <w:r w:rsidR="0037338E">
              <w:rPr>
                <w:sz w:val="24"/>
              </w:rPr>
              <w:t>%</w:t>
            </w:r>
            <w:r>
              <w:rPr>
                <w:sz w:val="24"/>
              </w:rPr>
              <w:t xml:space="preserve"> of the CoC's Annual Renewal Demand (ARD).</w:t>
            </w:r>
          </w:p>
        </w:tc>
      </w:tr>
      <w:tr w:rsidR="00F507A1" w:rsidTr="00F507A1">
        <w:trPr>
          <w:trHeight w:val="893"/>
        </w:trPr>
        <w:tc>
          <w:tcPr>
            <w:tcW w:w="1932" w:type="dxa"/>
          </w:tcPr>
          <w:p w:rsidR="00F507A1" w:rsidRPr="0040577E" w:rsidRDefault="00F507A1" w:rsidP="00F507A1">
            <w:pPr>
              <w:pStyle w:val="TableParagraph"/>
              <w:spacing w:line="275" w:lineRule="exact"/>
              <w:ind w:left="102"/>
              <w:rPr>
                <w:b/>
                <w:sz w:val="24"/>
              </w:rPr>
            </w:pPr>
            <w:r w:rsidRPr="0040577E">
              <w:rPr>
                <w:b/>
                <w:sz w:val="24"/>
              </w:rPr>
              <w:t>Tier 2</w:t>
            </w:r>
            <w:r>
              <w:rPr>
                <w:b/>
                <w:sz w:val="24"/>
              </w:rPr>
              <w:t xml:space="preserve"> Scoring</w:t>
            </w:r>
          </w:p>
        </w:tc>
        <w:tc>
          <w:tcPr>
            <w:tcW w:w="11033" w:type="dxa"/>
            <w:gridSpan w:val="2"/>
          </w:tcPr>
          <w:p w:rsidR="00F507A1" w:rsidRDefault="00F507A1" w:rsidP="00F507A1">
            <w:pPr>
              <w:pStyle w:val="TableParagraph"/>
              <w:ind w:right="180"/>
              <w:rPr>
                <w:sz w:val="24"/>
              </w:rPr>
            </w:pPr>
            <w:r>
              <w:rPr>
                <w:sz w:val="24"/>
              </w:rPr>
              <w:t>HUD has removed project type from the Tier 2 scoring. Project type (PH, TH) is not part of the score. Tier 2 scoring is based on: 1) CoC Score (locally called “Exhibit I”), 2) CoC Project Ranking, and 3) Commitment to Housing First.</w:t>
            </w:r>
          </w:p>
        </w:tc>
      </w:tr>
      <w:tr w:rsidR="00F507A1" w:rsidTr="00F507A1">
        <w:trPr>
          <w:trHeight w:val="2954"/>
        </w:trPr>
        <w:tc>
          <w:tcPr>
            <w:tcW w:w="1932" w:type="dxa"/>
          </w:tcPr>
          <w:p w:rsidR="00F507A1" w:rsidRPr="0040577E" w:rsidRDefault="00F507A1" w:rsidP="00F507A1">
            <w:pPr>
              <w:pStyle w:val="TableParagraph"/>
              <w:spacing w:line="275" w:lineRule="exact"/>
              <w:ind w:left="102"/>
              <w:rPr>
                <w:b/>
                <w:sz w:val="24"/>
              </w:rPr>
            </w:pPr>
            <w:r w:rsidRPr="0040577E">
              <w:rPr>
                <w:b/>
                <w:sz w:val="24"/>
              </w:rPr>
              <w:t>DedicatedPLUS</w:t>
            </w:r>
          </w:p>
        </w:tc>
        <w:tc>
          <w:tcPr>
            <w:tcW w:w="11033" w:type="dxa"/>
            <w:gridSpan w:val="2"/>
          </w:tcPr>
          <w:p w:rsidR="00F507A1" w:rsidRDefault="00F507A1" w:rsidP="00F507A1">
            <w:pPr>
              <w:pStyle w:val="TableParagraph"/>
              <w:ind w:right="225"/>
              <w:rPr>
                <w:sz w:val="24"/>
              </w:rPr>
            </w:pPr>
            <w:r>
              <w:rPr>
                <w:sz w:val="24"/>
              </w:rPr>
              <w:t xml:space="preserve">PSH projects 100% dedicated to serve households in which one adult or child has a disability, including unaccompanied youth, </w:t>
            </w:r>
            <w:r w:rsidRPr="00FB1D1F">
              <w:rPr>
                <w:i/>
                <w:sz w:val="24"/>
              </w:rPr>
              <w:t>that</w:t>
            </w:r>
            <w:r w:rsidRPr="00FB1D1F">
              <w:rPr>
                <w:i/>
                <w:sz w:val="24"/>
                <w:u w:val="single"/>
              </w:rPr>
              <w:t xml:space="preserve"> at</w:t>
            </w:r>
            <w:r>
              <w:rPr>
                <w:i/>
                <w:sz w:val="24"/>
                <w:u w:val="single"/>
              </w:rPr>
              <w:t xml:space="preserve"> </w:t>
            </w:r>
            <w:r w:rsidRPr="00FB1D1F">
              <w:rPr>
                <w:i/>
                <w:sz w:val="24"/>
                <w:u w:val="single"/>
              </w:rPr>
              <w:t>intake</w:t>
            </w:r>
            <w:r>
              <w:rPr>
                <w:i/>
                <w:sz w:val="24"/>
              </w:rPr>
              <w:t xml:space="preserve"> are</w:t>
            </w:r>
            <w:r w:rsidRPr="00FB1D1F">
              <w:rPr>
                <w:i/>
                <w:sz w:val="24"/>
              </w:rPr>
              <w:t xml:space="preserve"> also:</w:t>
            </w:r>
          </w:p>
          <w:p w:rsidR="00F507A1" w:rsidRDefault="00F507A1" w:rsidP="00F507A1">
            <w:pPr>
              <w:pStyle w:val="TableParagraph"/>
              <w:spacing w:before="5"/>
              <w:ind w:left="0"/>
              <w:rPr>
                <w:sz w:val="24"/>
              </w:rPr>
            </w:pPr>
          </w:p>
          <w:p w:rsidR="00F507A1" w:rsidRDefault="0037338E" w:rsidP="00F507A1">
            <w:pPr>
              <w:pStyle w:val="TableParagraph"/>
              <w:numPr>
                <w:ilvl w:val="0"/>
                <w:numId w:val="5"/>
              </w:numPr>
              <w:tabs>
                <w:tab w:val="left" w:pos="408"/>
              </w:tabs>
              <w:ind w:left="408" w:hanging="305"/>
              <w:rPr>
                <w:sz w:val="24"/>
              </w:rPr>
            </w:pPr>
            <w:r>
              <w:rPr>
                <w:sz w:val="24"/>
              </w:rPr>
              <w:t>E</w:t>
            </w:r>
            <w:r w:rsidR="00F507A1">
              <w:rPr>
                <w:sz w:val="24"/>
              </w:rPr>
              <w:t>xperiencing chronic homelessness as defined in 24 CFR</w:t>
            </w:r>
            <w:r w:rsidR="00F507A1">
              <w:rPr>
                <w:spacing w:val="-16"/>
                <w:sz w:val="24"/>
              </w:rPr>
              <w:t xml:space="preserve"> </w:t>
            </w:r>
            <w:r w:rsidR="00F507A1">
              <w:rPr>
                <w:sz w:val="24"/>
              </w:rPr>
              <w:t>578.3;</w:t>
            </w:r>
          </w:p>
          <w:p w:rsidR="00F507A1" w:rsidRDefault="0037338E" w:rsidP="00F507A1">
            <w:pPr>
              <w:pStyle w:val="TableParagraph"/>
              <w:numPr>
                <w:ilvl w:val="0"/>
                <w:numId w:val="5"/>
              </w:numPr>
              <w:tabs>
                <w:tab w:val="left" w:pos="408"/>
              </w:tabs>
              <w:ind w:left="408" w:right="341" w:hanging="305"/>
              <w:rPr>
                <w:sz w:val="24"/>
              </w:rPr>
            </w:pPr>
            <w:r>
              <w:rPr>
                <w:sz w:val="24"/>
              </w:rPr>
              <w:t>M</w:t>
            </w:r>
            <w:r w:rsidR="00F507A1">
              <w:rPr>
                <w:sz w:val="24"/>
              </w:rPr>
              <w:t xml:space="preserve">et the definition of chronic in effect at the time they entered TH </w:t>
            </w:r>
            <w:r w:rsidR="00F507A1" w:rsidRPr="00275E72">
              <w:rPr>
                <w:i/>
                <w:sz w:val="24"/>
              </w:rPr>
              <w:t>and</w:t>
            </w:r>
            <w:r w:rsidR="00F507A1">
              <w:rPr>
                <w:sz w:val="24"/>
              </w:rPr>
              <w:t xml:space="preserve"> the TH program is being </w:t>
            </w:r>
            <w:r w:rsidR="00F507A1" w:rsidRPr="00FB1D1F">
              <w:rPr>
                <w:i/>
                <w:sz w:val="24"/>
              </w:rPr>
              <w:t>eliminated</w:t>
            </w:r>
            <w:r w:rsidR="00F507A1">
              <w:rPr>
                <w:i/>
                <w:sz w:val="24"/>
              </w:rPr>
              <w:t>;</w:t>
            </w:r>
            <w:r w:rsidR="00F507A1" w:rsidRPr="00FB1D1F">
              <w:rPr>
                <w:i/>
                <w:sz w:val="24"/>
              </w:rPr>
              <w:t xml:space="preserve"> </w:t>
            </w:r>
          </w:p>
          <w:p w:rsidR="00F507A1" w:rsidRDefault="0037338E" w:rsidP="00F507A1">
            <w:pPr>
              <w:pStyle w:val="TableParagraph"/>
              <w:numPr>
                <w:ilvl w:val="0"/>
                <w:numId w:val="5"/>
              </w:numPr>
              <w:tabs>
                <w:tab w:val="left" w:pos="408"/>
              </w:tabs>
              <w:spacing w:line="270" w:lineRule="atLeast"/>
              <w:ind w:left="408" w:right="142" w:hanging="305"/>
              <w:rPr>
                <w:sz w:val="24"/>
              </w:rPr>
            </w:pPr>
            <w:r>
              <w:rPr>
                <w:sz w:val="24"/>
              </w:rPr>
              <w:t>R</w:t>
            </w:r>
            <w:r w:rsidR="00F507A1">
              <w:rPr>
                <w:sz w:val="24"/>
              </w:rPr>
              <w:t>esiding in a place not meant for human habitation, emergency shelter, or safe haven; but the individuals or families experiencing chronic homelessness as defined at 24 CFR 578.3 had been admitted and enrolled in PH within the last year and were</w:t>
            </w:r>
            <w:r w:rsidR="00F507A1">
              <w:rPr>
                <w:spacing w:val="-28"/>
                <w:sz w:val="24"/>
              </w:rPr>
              <w:t xml:space="preserve"> </w:t>
            </w:r>
            <w:r w:rsidR="00F507A1">
              <w:rPr>
                <w:sz w:val="24"/>
              </w:rPr>
              <w:t>unable to maintain their housing placement;</w:t>
            </w:r>
          </w:p>
        </w:tc>
      </w:tr>
    </w:tbl>
    <w:p w:rsidR="00287FE8" w:rsidRDefault="00287FE8">
      <w:pPr>
        <w:pStyle w:val="BodyText"/>
        <w:spacing w:before="5" w:after="1"/>
        <w:rPr>
          <w:sz w:val="14"/>
        </w:rPr>
      </w:pPr>
    </w:p>
    <w:p w:rsidR="00287FE8" w:rsidRDefault="00287FE8">
      <w:pPr>
        <w:pStyle w:val="BodyText"/>
        <w:spacing w:before="5" w:after="1"/>
        <w:rPr>
          <w:sz w:val="14"/>
        </w:rPr>
      </w:pPr>
    </w:p>
    <w:p w:rsidR="00287FE8" w:rsidRDefault="00287FE8">
      <w:pPr>
        <w:pStyle w:val="BodyText"/>
        <w:spacing w:before="5" w:after="1"/>
        <w:rPr>
          <w:sz w:val="14"/>
        </w:rPr>
      </w:pPr>
    </w:p>
    <w:p w:rsidR="00287FE8" w:rsidRDefault="00287FE8" w:rsidP="0040577E">
      <w:pPr>
        <w:pStyle w:val="BodyText"/>
        <w:shd w:val="clear" w:color="auto" w:fill="F2F2F2" w:themeFill="background1" w:themeFillShade="F2"/>
        <w:spacing w:before="5" w:after="1"/>
        <w:rPr>
          <w:sz w:val="14"/>
        </w:rPr>
      </w:pPr>
    </w:p>
    <w:p w:rsidR="00E103E5" w:rsidRDefault="00E103E5">
      <w:pPr>
        <w:pStyle w:val="BodyText"/>
        <w:rPr>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7"/>
        <w:gridCol w:w="11028"/>
      </w:tblGrid>
      <w:tr w:rsidR="00856917" w:rsidTr="009F1CA8">
        <w:trPr>
          <w:trHeight w:val="3107"/>
        </w:trPr>
        <w:tc>
          <w:tcPr>
            <w:tcW w:w="1927" w:type="dxa"/>
          </w:tcPr>
          <w:p w:rsidR="00856917" w:rsidRDefault="00856917">
            <w:pPr>
              <w:pStyle w:val="TableParagraph"/>
              <w:ind w:left="0"/>
            </w:pPr>
          </w:p>
        </w:tc>
        <w:tc>
          <w:tcPr>
            <w:tcW w:w="11028" w:type="dxa"/>
          </w:tcPr>
          <w:p w:rsidR="00856917" w:rsidRDefault="00856917">
            <w:pPr>
              <w:pStyle w:val="TableParagraph"/>
              <w:spacing w:before="11"/>
              <w:ind w:left="0"/>
              <w:rPr>
                <w:sz w:val="23"/>
              </w:rPr>
            </w:pPr>
          </w:p>
          <w:p w:rsidR="00856917" w:rsidRDefault="0037338E" w:rsidP="00455383">
            <w:pPr>
              <w:pStyle w:val="TableParagraph"/>
              <w:numPr>
                <w:ilvl w:val="0"/>
                <w:numId w:val="4"/>
              </w:numPr>
              <w:tabs>
                <w:tab w:val="left" w:pos="343"/>
              </w:tabs>
              <w:ind w:left="318" w:right="259" w:hanging="215"/>
              <w:rPr>
                <w:sz w:val="24"/>
              </w:rPr>
            </w:pPr>
            <w:r>
              <w:rPr>
                <w:sz w:val="24"/>
              </w:rPr>
              <w:t>R</w:t>
            </w:r>
            <w:r w:rsidR="00455383">
              <w:rPr>
                <w:sz w:val="24"/>
              </w:rPr>
              <w:t>esiding in TH</w:t>
            </w:r>
            <w:r w:rsidR="00856917">
              <w:rPr>
                <w:sz w:val="24"/>
              </w:rPr>
              <w:t xml:space="preserve"> funded by a Joint TH and PH-RRH component pr</w:t>
            </w:r>
            <w:r w:rsidR="00275E72">
              <w:rPr>
                <w:sz w:val="24"/>
              </w:rPr>
              <w:t xml:space="preserve">oject and who were </w:t>
            </w:r>
            <w:r w:rsidR="00856917">
              <w:rPr>
                <w:sz w:val="24"/>
              </w:rPr>
              <w:t>chronic</w:t>
            </w:r>
            <w:r w:rsidR="00275E72">
              <w:rPr>
                <w:sz w:val="24"/>
              </w:rPr>
              <w:t>ally</w:t>
            </w:r>
            <w:r w:rsidR="00856917">
              <w:rPr>
                <w:sz w:val="24"/>
              </w:rPr>
              <w:t xml:space="preserve"> homelessness prior to entering</w:t>
            </w:r>
            <w:r w:rsidR="00856917">
              <w:rPr>
                <w:spacing w:val="-25"/>
                <w:sz w:val="24"/>
              </w:rPr>
              <w:t xml:space="preserve"> </w:t>
            </w:r>
            <w:r w:rsidR="00856917">
              <w:rPr>
                <w:sz w:val="24"/>
              </w:rPr>
              <w:t>the project;</w:t>
            </w:r>
          </w:p>
          <w:p w:rsidR="00856917" w:rsidRDefault="0037338E" w:rsidP="00455383">
            <w:pPr>
              <w:pStyle w:val="TableParagraph"/>
              <w:numPr>
                <w:ilvl w:val="0"/>
                <w:numId w:val="4"/>
              </w:numPr>
              <w:tabs>
                <w:tab w:val="left" w:pos="343"/>
              </w:tabs>
              <w:ind w:left="318" w:right="574" w:hanging="215"/>
              <w:rPr>
                <w:sz w:val="24"/>
              </w:rPr>
            </w:pPr>
            <w:r>
              <w:rPr>
                <w:sz w:val="24"/>
              </w:rPr>
              <w:t>R</w:t>
            </w:r>
            <w:r w:rsidR="00455383">
              <w:rPr>
                <w:sz w:val="24"/>
              </w:rPr>
              <w:t>esiding and have</w:t>
            </w:r>
            <w:r w:rsidR="00856917">
              <w:rPr>
                <w:sz w:val="24"/>
              </w:rPr>
              <w:t xml:space="preserve"> resided in a place not meant for human habitation, a safe haven, or emergency shelter for at least 12 months in the last three years, but has </w:t>
            </w:r>
            <w:r w:rsidR="00275E72">
              <w:rPr>
                <w:sz w:val="24"/>
              </w:rPr>
              <w:t xml:space="preserve">not </w:t>
            </w:r>
            <w:r w:rsidR="00455383">
              <w:rPr>
                <w:sz w:val="24"/>
              </w:rPr>
              <w:t xml:space="preserve">met the 4 </w:t>
            </w:r>
            <w:r w:rsidR="00856917">
              <w:rPr>
                <w:sz w:val="24"/>
              </w:rPr>
              <w:t>separate occasions</w:t>
            </w:r>
            <w:r w:rsidR="00455383">
              <w:rPr>
                <w:sz w:val="24"/>
              </w:rPr>
              <w:t xml:space="preserve"> criteria</w:t>
            </w:r>
            <w:r w:rsidR="00856917">
              <w:rPr>
                <w:sz w:val="24"/>
              </w:rPr>
              <w:t>;</w:t>
            </w:r>
            <w:r w:rsidR="00856917">
              <w:rPr>
                <w:spacing w:val="-6"/>
                <w:sz w:val="24"/>
              </w:rPr>
              <w:t xml:space="preserve"> </w:t>
            </w:r>
            <w:r w:rsidR="00856917">
              <w:rPr>
                <w:sz w:val="24"/>
              </w:rPr>
              <w:t>or</w:t>
            </w:r>
          </w:p>
          <w:p w:rsidR="00856917" w:rsidRDefault="0037338E" w:rsidP="00455383">
            <w:pPr>
              <w:pStyle w:val="TableParagraph"/>
              <w:numPr>
                <w:ilvl w:val="0"/>
                <w:numId w:val="4"/>
              </w:numPr>
              <w:tabs>
                <w:tab w:val="left" w:pos="343"/>
              </w:tabs>
              <w:ind w:left="318" w:right="657" w:hanging="215"/>
              <w:rPr>
                <w:sz w:val="24"/>
              </w:rPr>
            </w:pPr>
            <w:r>
              <w:rPr>
                <w:sz w:val="24"/>
              </w:rPr>
              <w:t>R</w:t>
            </w:r>
            <w:r w:rsidR="00856917">
              <w:rPr>
                <w:sz w:val="24"/>
              </w:rPr>
              <w:t>eceiving as</w:t>
            </w:r>
            <w:r w:rsidR="00EC24DA">
              <w:rPr>
                <w:sz w:val="24"/>
              </w:rPr>
              <w:t>sistance through a</w:t>
            </w:r>
            <w:r w:rsidR="00856917">
              <w:rPr>
                <w:sz w:val="24"/>
              </w:rPr>
              <w:t xml:space="preserve"> Vetera</w:t>
            </w:r>
            <w:r w:rsidR="00275E72">
              <w:rPr>
                <w:sz w:val="24"/>
              </w:rPr>
              <w:t xml:space="preserve">ns Affairs(VA)-funded homeless </w:t>
            </w:r>
            <w:r w:rsidR="00856917">
              <w:rPr>
                <w:sz w:val="24"/>
              </w:rPr>
              <w:t>program</w:t>
            </w:r>
            <w:r w:rsidR="00275E72">
              <w:rPr>
                <w:sz w:val="24"/>
              </w:rPr>
              <w:t>s</w:t>
            </w:r>
            <w:r w:rsidR="00856917">
              <w:rPr>
                <w:sz w:val="24"/>
              </w:rPr>
              <w:t xml:space="preserve"> and met one of the above criteria at initial intake to the VA's</w:t>
            </w:r>
            <w:r w:rsidR="00455383">
              <w:rPr>
                <w:spacing w:val="-30"/>
                <w:sz w:val="24"/>
              </w:rPr>
              <w:t xml:space="preserve"> system</w:t>
            </w:r>
            <w:r w:rsidR="00856917">
              <w:rPr>
                <w:sz w:val="24"/>
              </w:rPr>
              <w:t>.</w:t>
            </w:r>
          </w:p>
          <w:p w:rsidR="00856917" w:rsidRDefault="00856917">
            <w:pPr>
              <w:pStyle w:val="TableParagraph"/>
              <w:spacing w:before="11"/>
              <w:ind w:left="0"/>
              <w:rPr>
                <w:sz w:val="23"/>
              </w:rPr>
            </w:pPr>
          </w:p>
          <w:p w:rsidR="00856917" w:rsidRDefault="002F2E96" w:rsidP="002F2E96">
            <w:pPr>
              <w:pStyle w:val="TableParagraph"/>
              <w:spacing w:line="270" w:lineRule="atLeast"/>
              <w:ind w:right="400"/>
              <w:rPr>
                <w:sz w:val="24"/>
              </w:rPr>
            </w:pPr>
            <w:r w:rsidRPr="002F2E96">
              <w:rPr>
                <w:i/>
                <w:sz w:val="24"/>
              </w:rPr>
              <w:t>Note:</w:t>
            </w:r>
            <w:r>
              <w:rPr>
                <w:sz w:val="24"/>
              </w:rPr>
              <w:t xml:space="preserve"> </w:t>
            </w:r>
            <w:r w:rsidR="00856917">
              <w:rPr>
                <w:sz w:val="24"/>
              </w:rPr>
              <w:t xml:space="preserve">Project applicants may use DedicatedPLUS when creating a new project application and </w:t>
            </w:r>
            <w:r w:rsidR="00856917" w:rsidRPr="009202B0">
              <w:rPr>
                <w:b/>
                <w:i/>
                <w:sz w:val="24"/>
              </w:rPr>
              <w:t xml:space="preserve">renewal project applications may choose to change a </w:t>
            </w:r>
            <w:r w:rsidR="00856917" w:rsidRPr="00C50C8F">
              <w:rPr>
                <w:b/>
                <w:i/>
                <w:sz w:val="24"/>
                <w:u w:val="single"/>
              </w:rPr>
              <w:t>100 percent dedicated pro</w:t>
            </w:r>
            <w:r w:rsidRPr="00C50C8F">
              <w:rPr>
                <w:b/>
                <w:i/>
                <w:sz w:val="24"/>
                <w:u w:val="single"/>
              </w:rPr>
              <w:t>ject</w:t>
            </w:r>
            <w:r w:rsidRPr="009202B0">
              <w:rPr>
                <w:b/>
                <w:i/>
                <w:sz w:val="24"/>
              </w:rPr>
              <w:t xml:space="preserve"> to a DedicatedPLUS project.</w:t>
            </w:r>
          </w:p>
        </w:tc>
      </w:tr>
      <w:tr w:rsidR="00856917" w:rsidTr="009F1CA8">
        <w:trPr>
          <w:trHeight w:val="1100"/>
        </w:trPr>
        <w:tc>
          <w:tcPr>
            <w:tcW w:w="1927" w:type="dxa"/>
          </w:tcPr>
          <w:p w:rsidR="00856917" w:rsidRDefault="00856917">
            <w:pPr>
              <w:pStyle w:val="TableParagraph"/>
              <w:ind w:left="102" w:right="437"/>
              <w:rPr>
                <w:b/>
                <w:sz w:val="24"/>
              </w:rPr>
            </w:pPr>
            <w:r>
              <w:rPr>
                <w:b/>
                <w:sz w:val="24"/>
              </w:rPr>
              <w:t>Joint TH and PH-RRH</w:t>
            </w:r>
          </w:p>
          <w:p w:rsidR="00856917" w:rsidRDefault="00856917">
            <w:pPr>
              <w:pStyle w:val="TableParagraph"/>
              <w:spacing w:before="6" w:line="276" w:lineRule="exact"/>
              <w:ind w:left="102" w:right="594"/>
              <w:rPr>
                <w:b/>
                <w:sz w:val="24"/>
              </w:rPr>
            </w:pPr>
            <w:r>
              <w:rPr>
                <w:b/>
                <w:sz w:val="24"/>
              </w:rPr>
              <w:t>Component Project</w:t>
            </w:r>
          </w:p>
        </w:tc>
        <w:tc>
          <w:tcPr>
            <w:tcW w:w="11028" w:type="dxa"/>
          </w:tcPr>
          <w:p w:rsidR="00856917" w:rsidRDefault="00856917">
            <w:pPr>
              <w:pStyle w:val="TableParagraph"/>
              <w:ind w:right="492"/>
              <w:rPr>
                <w:sz w:val="24"/>
              </w:rPr>
            </w:pPr>
            <w:r>
              <w:rPr>
                <w:sz w:val="24"/>
              </w:rPr>
              <w:t>The Joint TH and PH-RRH component project includes two existing program components– transitional housing and permanent housing-rapid rehousing–in a single project to serve individuals and families experiencing homelessness.</w:t>
            </w:r>
          </w:p>
        </w:tc>
      </w:tr>
      <w:tr w:rsidR="00856917" w:rsidTr="009F1CA8">
        <w:trPr>
          <w:trHeight w:val="2027"/>
        </w:trPr>
        <w:tc>
          <w:tcPr>
            <w:tcW w:w="1927" w:type="dxa"/>
          </w:tcPr>
          <w:p w:rsidR="00856917" w:rsidRDefault="00856917">
            <w:pPr>
              <w:pStyle w:val="TableParagraph"/>
              <w:ind w:left="102" w:right="714"/>
              <w:rPr>
                <w:b/>
                <w:sz w:val="24"/>
              </w:rPr>
            </w:pPr>
            <w:r>
              <w:rPr>
                <w:b/>
                <w:sz w:val="24"/>
              </w:rPr>
              <w:t>Rapid Rehousing</w:t>
            </w:r>
          </w:p>
        </w:tc>
        <w:tc>
          <w:tcPr>
            <w:tcW w:w="11028" w:type="dxa"/>
          </w:tcPr>
          <w:p w:rsidR="00856917" w:rsidRDefault="00EC24DA" w:rsidP="00EC24DA">
            <w:pPr>
              <w:pStyle w:val="TableParagraph"/>
              <w:ind w:left="138" w:right="318"/>
              <w:rPr>
                <w:sz w:val="24"/>
              </w:rPr>
            </w:pPr>
            <w:r>
              <w:rPr>
                <w:sz w:val="24"/>
              </w:rPr>
              <w:t>T</w:t>
            </w:r>
            <w:r w:rsidR="00856917">
              <w:rPr>
                <w:sz w:val="24"/>
              </w:rPr>
              <w:t>here is a significant change to the persons who can be served by a rapid rehousing project. Rapid rehousing projects may serve individuals and families, including unaccompanied youth, who meet the following criteria:</w:t>
            </w:r>
          </w:p>
          <w:p w:rsidR="00856917" w:rsidRDefault="00EC24DA" w:rsidP="00EC24DA">
            <w:pPr>
              <w:pStyle w:val="TableParagraph"/>
              <w:numPr>
                <w:ilvl w:val="0"/>
                <w:numId w:val="3"/>
              </w:numPr>
              <w:tabs>
                <w:tab w:val="left" w:pos="408"/>
              </w:tabs>
              <w:spacing w:before="9"/>
              <w:ind w:left="318" w:hanging="180"/>
              <w:rPr>
                <w:sz w:val="24"/>
              </w:rPr>
            </w:pPr>
            <w:r>
              <w:rPr>
                <w:sz w:val="24"/>
              </w:rPr>
              <w:t xml:space="preserve"> </w:t>
            </w:r>
            <w:r w:rsidR="0037338E">
              <w:rPr>
                <w:sz w:val="24"/>
              </w:rPr>
              <w:t>R</w:t>
            </w:r>
            <w:r w:rsidR="00856917">
              <w:rPr>
                <w:sz w:val="24"/>
              </w:rPr>
              <w:t>esiding in a place not meant for human</w:t>
            </w:r>
            <w:r w:rsidR="00856917">
              <w:rPr>
                <w:spacing w:val="-13"/>
                <w:sz w:val="24"/>
              </w:rPr>
              <w:t xml:space="preserve"> </w:t>
            </w:r>
            <w:r w:rsidR="00856917">
              <w:rPr>
                <w:sz w:val="24"/>
              </w:rPr>
              <w:t>habitation;</w:t>
            </w:r>
          </w:p>
          <w:p w:rsidR="00856917" w:rsidRDefault="00EC24DA" w:rsidP="00EC24DA">
            <w:pPr>
              <w:pStyle w:val="TableParagraph"/>
              <w:numPr>
                <w:ilvl w:val="0"/>
                <w:numId w:val="3"/>
              </w:numPr>
              <w:tabs>
                <w:tab w:val="left" w:pos="408"/>
              </w:tabs>
              <w:ind w:left="318" w:hanging="180"/>
              <w:rPr>
                <w:sz w:val="24"/>
              </w:rPr>
            </w:pPr>
            <w:r>
              <w:rPr>
                <w:sz w:val="24"/>
              </w:rPr>
              <w:t xml:space="preserve"> </w:t>
            </w:r>
            <w:r w:rsidR="0037338E">
              <w:rPr>
                <w:sz w:val="24"/>
              </w:rPr>
              <w:t>R</w:t>
            </w:r>
            <w:r w:rsidR="00856917">
              <w:rPr>
                <w:sz w:val="24"/>
              </w:rPr>
              <w:t>esiding in an emergency</w:t>
            </w:r>
            <w:r w:rsidR="00856917">
              <w:rPr>
                <w:spacing w:val="-13"/>
                <w:sz w:val="24"/>
              </w:rPr>
              <w:t xml:space="preserve"> </w:t>
            </w:r>
            <w:r w:rsidR="00856917">
              <w:rPr>
                <w:sz w:val="24"/>
              </w:rPr>
              <w:t>shelter;</w:t>
            </w:r>
          </w:p>
          <w:p w:rsidR="00856917" w:rsidRDefault="00EC24DA" w:rsidP="00EC24DA">
            <w:pPr>
              <w:pStyle w:val="TableParagraph"/>
              <w:numPr>
                <w:ilvl w:val="0"/>
                <w:numId w:val="3"/>
              </w:numPr>
              <w:tabs>
                <w:tab w:val="left" w:pos="408"/>
              </w:tabs>
              <w:ind w:left="318" w:right="145" w:hanging="180"/>
              <w:rPr>
                <w:sz w:val="24"/>
              </w:rPr>
            </w:pPr>
            <w:r>
              <w:rPr>
                <w:sz w:val="24"/>
              </w:rPr>
              <w:t xml:space="preserve"> </w:t>
            </w:r>
            <w:r w:rsidR="0037338E">
              <w:rPr>
                <w:sz w:val="24"/>
              </w:rPr>
              <w:t>P</w:t>
            </w:r>
            <w:r w:rsidR="00856917">
              <w:rPr>
                <w:sz w:val="24"/>
              </w:rPr>
              <w:t xml:space="preserve">ersons meeting </w:t>
            </w:r>
            <w:r>
              <w:rPr>
                <w:sz w:val="24"/>
              </w:rPr>
              <w:t xml:space="preserve">part 4 </w:t>
            </w:r>
            <w:r w:rsidR="00856917">
              <w:rPr>
                <w:sz w:val="24"/>
              </w:rPr>
              <w:t>of the definition of homeless, including person</w:t>
            </w:r>
            <w:r>
              <w:rPr>
                <w:sz w:val="24"/>
              </w:rPr>
              <w:t xml:space="preserve">s </w:t>
            </w:r>
            <w:r w:rsidR="00856917">
              <w:rPr>
                <w:sz w:val="24"/>
              </w:rPr>
              <w:t>domestic violence;</w:t>
            </w:r>
          </w:p>
          <w:p w:rsidR="00EC24DA" w:rsidRDefault="0037338E" w:rsidP="00EC24DA">
            <w:pPr>
              <w:pStyle w:val="TableParagraph"/>
              <w:numPr>
                <w:ilvl w:val="0"/>
                <w:numId w:val="3"/>
              </w:numPr>
              <w:tabs>
                <w:tab w:val="left" w:pos="408"/>
              </w:tabs>
              <w:ind w:left="408" w:right="370" w:hanging="270"/>
              <w:rPr>
                <w:sz w:val="24"/>
              </w:rPr>
            </w:pPr>
            <w:r>
              <w:rPr>
                <w:sz w:val="24"/>
              </w:rPr>
              <w:t>R</w:t>
            </w:r>
            <w:r w:rsidR="00EC24DA">
              <w:rPr>
                <w:sz w:val="24"/>
              </w:rPr>
              <w:t>esiding in a transitional housing project that was eliminated in the FY 2017 CoC Program Competition;</w:t>
            </w:r>
            <w:r w:rsidR="00EC24DA">
              <w:rPr>
                <w:spacing w:val="-1"/>
                <w:sz w:val="24"/>
              </w:rPr>
              <w:t xml:space="preserve"> </w:t>
            </w:r>
            <w:r w:rsidR="00EC24DA">
              <w:rPr>
                <w:sz w:val="24"/>
              </w:rPr>
              <w:t>or</w:t>
            </w:r>
          </w:p>
          <w:p w:rsidR="00EC24DA" w:rsidRDefault="00EC24DA" w:rsidP="00EC24DA">
            <w:pPr>
              <w:pStyle w:val="TableParagraph"/>
              <w:numPr>
                <w:ilvl w:val="0"/>
                <w:numId w:val="3"/>
              </w:numPr>
              <w:tabs>
                <w:tab w:val="left" w:pos="343"/>
              </w:tabs>
              <w:ind w:left="408" w:hanging="270"/>
              <w:rPr>
                <w:sz w:val="24"/>
              </w:rPr>
            </w:pPr>
            <w:r>
              <w:rPr>
                <w:sz w:val="24"/>
              </w:rPr>
              <w:t xml:space="preserve"> </w:t>
            </w:r>
            <w:r w:rsidR="0037338E">
              <w:rPr>
                <w:sz w:val="24"/>
              </w:rPr>
              <w:t>R</w:t>
            </w:r>
            <w:r>
              <w:rPr>
                <w:sz w:val="24"/>
              </w:rPr>
              <w:t>esiding in transitional housing funded by a Joint TH and PH-RRH component project;</w:t>
            </w:r>
            <w:r>
              <w:rPr>
                <w:spacing w:val="-21"/>
                <w:sz w:val="24"/>
              </w:rPr>
              <w:t xml:space="preserve"> </w:t>
            </w:r>
            <w:r>
              <w:rPr>
                <w:sz w:val="24"/>
              </w:rPr>
              <w:t>or</w:t>
            </w:r>
          </w:p>
          <w:p w:rsidR="00EC24DA" w:rsidRDefault="00EC24DA" w:rsidP="00EC24DA">
            <w:pPr>
              <w:pStyle w:val="TableParagraph"/>
              <w:numPr>
                <w:ilvl w:val="0"/>
                <w:numId w:val="3"/>
              </w:numPr>
              <w:tabs>
                <w:tab w:val="left" w:pos="343"/>
              </w:tabs>
              <w:ind w:left="408" w:right="163" w:hanging="270"/>
              <w:rPr>
                <w:sz w:val="24"/>
              </w:rPr>
            </w:pPr>
            <w:r>
              <w:rPr>
                <w:sz w:val="24"/>
              </w:rPr>
              <w:t xml:space="preserve"> </w:t>
            </w:r>
            <w:r w:rsidR="0037338E">
              <w:rPr>
                <w:sz w:val="24"/>
              </w:rPr>
              <w:t>R</w:t>
            </w:r>
            <w:r>
              <w:rPr>
                <w:sz w:val="24"/>
              </w:rPr>
              <w:t>eceiving services from a VA-funded homeless program and met one of the above criteria at initial intake to the VA system.</w:t>
            </w:r>
          </w:p>
          <w:p w:rsidR="00EC24DA" w:rsidRDefault="00EC24DA" w:rsidP="00EC24DA">
            <w:pPr>
              <w:pStyle w:val="TableParagraph"/>
              <w:spacing w:before="11"/>
              <w:ind w:left="318" w:hanging="283"/>
              <w:rPr>
                <w:sz w:val="23"/>
              </w:rPr>
            </w:pPr>
          </w:p>
          <w:p w:rsidR="00EC24DA" w:rsidRDefault="00EC24DA" w:rsidP="00DF2507">
            <w:pPr>
              <w:pStyle w:val="TableParagraph"/>
              <w:ind w:right="132"/>
              <w:rPr>
                <w:sz w:val="24"/>
              </w:rPr>
            </w:pPr>
            <w:r w:rsidRPr="00EC24DA">
              <w:rPr>
                <w:i/>
                <w:sz w:val="24"/>
              </w:rPr>
              <w:t>Note:</w:t>
            </w:r>
            <w:r>
              <w:rPr>
                <w:sz w:val="24"/>
              </w:rPr>
              <w:t xml:space="preserve"> The NOFA </w:t>
            </w:r>
            <w:r w:rsidRPr="00DF2507">
              <w:rPr>
                <w:i/>
                <w:sz w:val="24"/>
              </w:rPr>
              <w:t xml:space="preserve">does not require RRH </w:t>
            </w:r>
            <w:r w:rsidRPr="00DF2507">
              <w:rPr>
                <w:i/>
                <w:sz w:val="24"/>
                <w:u w:val="single"/>
              </w:rPr>
              <w:t>renewals</w:t>
            </w:r>
            <w:r w:rsidRPr="00DF2507">
              <w:rPr>
                <w:i/>
                <w:sz w:val="24"/>
              </w:rPr>
              <w:t xml:space="preserve"> to serve only those participants who were in a RRH category when the project was initially funded</w:t>
            </w:r>
            <w:r>
              <w:rPr>
                <w:sz w:val="24"/>
              </w:rPr>
              <w:t xml:space="preserve">.  </w:t>
            </w:r>
            <w:r w:rsidR="00DF2507">
              <w:rPr>
                <w:sz w:val="24"/>
              </w:rPr>
              <w:t xml:space="preserve">Projects </w:t>
            </w:r>
            <w:r>
              <w:rPr>
                <w:sz w:val="24"/>
              </w:rPr>
              <w:t>originally funded to serve only families with children</w:t>
            </w:r>
            <w:r w:rsidR="00DF2507">
              <w:rPr>
                <w:sz w:val="24"/>
              </w:rPr>
              <w:t xml:space="preserve"> in 2017</w:t>
            </w:r>
            <w:r>
              <w:rPr>
                <w:sz w:val="24"/>
              </w:rPr>
              <w:t xml:space="preserve"> may </w:t>
            </w:r>
            <w:r w:rsidR="00DF2507">
              <w:rPr>
                <w:sz w:val="24"/>
              </w:rPr>
              <w:t>expand to serve individuals if it so</w:t>
            </w:r>
            <w:r>
              <w:rPr>
                <w:sz w:val="24"/>
              </w:rPr>
              <w:t xml:space="preserve"> chooses.</w:t>
            </w:r>
          </w:p>
        </w:tc>
      </w:tr>
    </w:tbl>
    <w:p w:rsidR="00E103E5" w:rsidRDefault="00E103E5">
      <w:pPr>
        <w:rPr>
          <w:sz w:val="24"/>
        </w:rPr>
        <w:sectPr w:rsidR="00E103E5">
          <w:footerReference w:type="default" r:id="rId13"/>
          <w:pgSz w:w="15840" w:h="12240" w:orient="landscape"/>
          <w:pgMar w:top="1140" w:right="1320" w:bottom="1140" w:left="1340" w:header="0" w:footer="956" w:gutter="0"/>
          <w:cols w:space="720"/>
        </w:sectPr>
      </w:pPr>
    </w:p>
    <w:p w:rsidR="00E103E5" w:rsidRDefault="00E103E5">
      <w:pPr>
        <w:pStyle w:val="BodyText"/>
        <w:rPr>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7"/>
        <w:gridCol w:w="11028"/>
      </w:tblGrid>
      <w:tr w:rsidR="00856917" w:rsidTr="001001E4">
        <w:trPr>
          <w:trHeight w:val="2657"/>
        </w:trPr>
        <w:tc>
          <w:tcPr>
            <w:tcW w:w="1927" w:type="dxa"/>
          </w:tcPr>
          <w:p w:rsidR="00856917" w:rsidRDefault="00856917">
            <w:pPr>
              <w:pStyle w:val="TableParagraph"/>
              <w:ind w:left="0"/>
            </w:pPr>
          </w:p>
        </w:tc>
        <w:tc>
          <w:tcPr>
            <w:tcW w:w="11028" w:type="dxa"/>
          </w:tcPr>
          <w:p w:rsidR="00856917" w:rsidRDefault="00DF2507" w:rsidP="00DF2507">
            <w:pPr>
              <w:pStyle w:val="TableParagraph"/>
              <w:ind w:right="132"/>
              <w:rPr>
                <w:sz w:val="24"/>
              </w:rPr>
            </w:pPr>
            <w:r>
              <w:rPr>
                <w:sz w:val="24"/>
              </w:rPr>
              <w:t xml:space="preserve"> </w:t>
            </w:r>
          </w:p>
        </w:tc>
      </w:tr>
      <w:tr w:rsidR="00856917" w:rsidTr="001001E4">
        <w:trPr>
          <w:trHeight w:val="893"/>
        </w:trPr>
        <w:tc>
          <w:tcPr>
            <w:tcW w:w="1927" w:type="dxa"/>
          </w:tcPr>
          <w:p w:rsidR="00856917" w:rsidRDefault="00856917">
            <w:pPr>
              <w:pStyle w:val="TableParagraph"/>
              <w:ind w:left="102" w:right="462"/>
              <w:rPr>
                <w:b/>
                <w:sz w:val="24"/>
              </w:rPr>
            </w:pPr>
            <w:r>
              <w:rPr>
                <w:b/>
                <w:sz w:val="24"/>
              </w:rPr>
              <w:t>System Performance</w:t>
            </w:r>
          </w:p>
        </w:tc>
        <w:tc>
          <w:tcPr>
            <w:tcW w:w="11028" w:type="dxa"/>
          </w:tcPr>
          <w:p w:rsidR="00856917" w:rsidRDefault="00856917" w:rsidP="00275176">
            <w:pPr>
              <w:pStyle w:val="TableParagraph"/>
              <w:ind w:right="132"/>
              <w:rPr>
                <w:sz w:val="24"/>
              </w:rPr>
            </w:pPr>
            <w:r>
              <w:rPr>
                <w:sz w:val="24"/>
              </w:rPr>
              <w:t xml:space="preserve">The system performance measures </w:t>
            </w:r>
            <w:r w:rsidR="0037338E">
              <w:rPr>
                <w:sz w:val="24"/>
              </w:rPr>
              <w:t xml:space="preserve">are </w:t>
            </w:r>
            <w:r w:rsidR="00275176">
              <w:rPr>
                <w:sz w:val="24"/>
              </w:rPr>
              <w:t xml:space="preserve">scored on </w:t>
            </w:r>
            <w:r>
              <w:rPr>
                <w:sz w:val="24"/>
              </w:rPr>
              <w:t xml:space="preserve">CoC system-wide performance related to reducing homelessness </w:t>
            </w:r>
            <w:r w:rsidR="00275176">
              <w:rPr>
                <w:sz w:val="24"/>
              </w:rPr>
              <w:t xml:space="preserve">as reported in </w:t>
            </w:r>
            <w:r>
              <w:rPr>
                <w:sz w:val="24"/>
              </w:rPr>
              <w:t>HD</w:t>
            </w:r>
            <w:r w:rsidR="00275176">
              <w:rPr>
                <w:sz w:val="24"/>
              </w:rPr>
              <w:t xml:space="preserve">X comparing FY 2016 information </w:t>
            </w:r>
            <w:r>
              <w:rPr>
                <w:sz w:val="24"/>
              </w:rPr>
              <w:t>to FY 2015</w:t>
            </w:r>
            <w:r w:rsidR="00275176">
              <w:rPr>
                <w:sz w:val="24"/>
              </w:rPr>
              <w:t xml:space="preserve">. Points are </w:t>
            </w:r>
            <w:r>
              <w:rPr>
                <w:sz w:val="24"/>
              </w:rPr>
              <w:t>based on HDX</w:t>
            </w:r>
            <w:r w:rsidR="00275176">
              <w:rPr>
                <w:sz w:val="24"/>
              </w:rPr>
              <w:t xml:space="preserve"> data</w:t>
            </w:r>
            <w:r>
              <w:rPr>
                <w:sz w:val="24"/>
              </w:rPr>
              <w:t>.</w:t>
            </w:r>
          </w:p>
          <w:p w:rsidR="009D7807" w:rsidRDefault="009D7807" w:rsidP="00275176">
            <w:pPr>
              <w:pStyle w:val="TableParagraph"/>
              <w:ind w:right="132"/>
              <w:rPr>
                <w:sz w:val="24"/>
              </w:rPr>
            </w:pPr>
          </w:p>
          <w:p w:rsidR="00275176" w:rsidRDefault="00275176" w:rsidP="00275176">
            <w:pPr>
              <w:pStyle w:val="TableParagraph"/>
              <w:ind w:right="132"/>
              <w:rPr>
                <w:sz w:val="24"/>
              </w:rPr>
            </w:pPr>
            <w:r w:rsidRPr="009D7807">
              <w:rPr>
                <w:i/>
                <w:sz w:val="24"/>
              </w:rPr>
              <w:t>Note:</w:t>
            </w:r>
            <w:r>
              <w:rPr>
                <w:sz w:val="24"/>
              </w:rPr>
              <w:t xml:space="preserve"> The San</w:t>
            </w:r>
            <w:r w:rsidR="009D7807">
              <w:rPr>
                <w:sz w:val="24"/>
              </w:rPr>
              <w:t xml:space="preserve"> Diego </w:t>
            </w:r>
            <w:r>
              <w:rPr>
                <w:sz w:val="24"/>
              </w:rPr>
              <w:t xml:space="preserve">data </w:t>
            </w:r>
            <w:r w:rsidR="009D7807">
              <w:rPr>
                <w:sz w:val="24"/>
              </w:rPr>
              <w:t>shows increases</w:t>
            </w:r>
            <w:r>
              <w:rPr>
                <w:sz w:val="24"/>
              </w:rPr>
              <w:t xml:space="preserve"> whic</w:t>
            </w:r>
            <w:r w:rsidR="009D7807">
              <w:rPr>
                <w:sz w:val="24"/>
              </w:rPr>
              <w:t>h will negatively impact points.</w:t>
            </w:r>
          </w:p>
        </w:tc>
      </w:tr>
      <w:tr w:rsidR="00856917" w:rsidTr="001001E4">
        <w:trPr>
          <w:trHeight w:val="3008"/>
        </w:trPr>
        <w:tc>
          <w:tcPr>
            <w:tcW w:w="1927" w:type="dxa"/>
          </w:tcPr>
          <w:p w:rsidR="00856917" w:rsidRPr="00A001B7" w:rsidRDefault="00856917" w:rsidP="00A001B7">
            <w:pPr>
              <w:pStyle w:val="TableParagraph"/>
              <w:numPr>
                <w:ilvl w:val="0"/>
                <w:numId w:val="9"/>
              </w:numPr>
              <w:spacing w:line="273" w:lineRule="exact"/>
              <w:ind w:left="355" w:hanging="270"/>
              <w:rPr>
                <w:b/>
                <w:sz w:val="20"/>
                <w:szCs w:val="20"/>
              </w:rPr>
            </w:pPr>
            <w:r w:rsidRPr="00A001B7">
              <w:rPr>
                <w:b/>
                <w:sz w:val="20"/>
                <w:szCs w:val="20"/>
              </w:rPr>
              <w:t>HUD-2991,</w:t>
            </w:r>
          </w:p>
          <w:p w:rsidR="00A001B7" w:rsidRPr="00A001B7" w:rsidRDefault="00856917">
            <w:pPr>
              <w:pStyle w:val="TableParagraph"/>
              <w:ind w:left="102" w:right="228"/>
              <w:rPr>
                <w:b/>
                <w:sz w:val="20"/>
                <w:szCs w:val="20"/>
              </w:rPr>
            </w:pPr>
            <w:r w:rsidRPr="00A001B7">
              <w:rPr>
                <w:b/>
                <w:sz w:val="20"/>
                <w:szCs w:val="20"/>
              </w:rPr>
              <w:t xml:space="preserve">Certification of Consistency with the Consolidated Plan, </w:t>
            </w:r>
          </w:p>
          <w:p w:rsidR="00856917" w:rsidRPr="00A001B7" w:rsidRDefault="00856917" w:rsidP="00A001B7">
            <w:pPr>
              <w:pStyle w:val="TableParagraph"/>
              <w:numPr>
                <w:ilvl w:val="0"/>
                <w:numId w:val="9"/>
              </w:numPr>
              <w:ind w:left="355" w:right="228" w:hanging="252"/>
              <w:rPr>
                <w:b/>
                <w:sz w:val="20"/>
                <w:szCs w:val="20"/>
              </w:rPr>
            </w:pPr>
            <w:r w:rsidRPr="00A001B7">
              <w:rPr>
                <w:b/>
                <w:sz w:val="20"/>
                <w:szCs w:val="20"/>
              </w:rPr>
              <w:t>HUD- 50070,</w:t>
            </w:r>
          </w:p>
          <w:p w:rsidR="00A001B7" w:rsidRPr="00A001B7" w:rsidRDefault="00856917">
            <w:pPr>
              <w:pStyle w:val="TableParagraph"/>
              <w:ind w:left="102" w:right="138"/>
              <w:rPr>
                <w:b/>
                <w:sz w:val="20"/>
                <w:szCs w:val="20"/>
              </w:rPr>
            </w:pPr>
            <w:r w:rsidRPr="00A001B7">
              <w:rPr>
                <w:b/>
                <w:sz w:val="20"/>
                <w:szCs w:val="20"/>
              </w:rPr>
              <w:t xml:space="preserve">Certification for Drug-Free Workplace </w:t>
            </w:r>
          </w:p>
          <w:p w:rsidR="00856917" w:rsidRPr="00A001B7" w:rsidRDefault="00856917" w:rsidP="00A001B7">
            <w:pPr>
              <w:pStyle w:val="TableParagraph"/>
              <w:numPr>
                <w:ilvl w:val="0"/>
                <w:numId w:val="9"/>
              </w:numPr>
              <w:ind w:left="355" w:right="138" w:hanging="252"/>
              <w:rPr>
                <w:b/>
                <w:sz w:val="20"/>
                <w:szCs w:val="20"/>
              </w:rPr>
            </w:pPr>
            <w:r w:rsidRPr="00A001B7">
              <w:rPr>
                <w:b/>
                <w:sz w:val="20"/>
                <w:szCs w:val="20"/>
              </w:rPr>
              <w:t>SF LLL</w:t>
            </w:r>
          </w:p>
          <w:p w:rsidR="00856917" w:rsidRDefault="00856917">
            <w:pPr>
              <w:pStyle w:val="TableParagraph"/>
              <w:spacing w:line="270" w:lineRule="atLeast"/>
              <w:ind w:left="102" w:right="468"/>
              <w:rPr>
                <w:b/>
                <w:sz w:val="24"/>
              </w:rPr>
            </w:pPr>
            <w:r w:rsidRPr="00A001B7">
              <w:rPr>
                <w:b/>
                <w:sz w:val="20"/>
                <w:szCs w:val="20"/>
              </w:rPr>
              <w:t>Disclosure of Lobbying</w:t>
            </w:r>
          </w:p>
        </w:tc>
        <w:tc>
          <w:tcPr>
            <w:tcW w:w="11028" w:type="dxa"/>
          </w:tcPr>
          <w:p w:rsidR="00856917" w:rsidRDefault="00856917" w:rsidP="009D7807">
            <w:pPr>
              <w:pStyle w:val="TableParagraph"/>
              <w:ind w:right="200" w:hanging="1"/>
              <w:rPr>
                <w:sz w:val="24"/>
              </w:rPr>
            </w:pPr>
            <w:r>
              <w:rPr>
                <w:sz w:val="24"/>
              </w:rPr>
              <w:t xml:space="preserve">These forms are no longer attachment requirements to the Project Application Profile. HUD has hard-coded these forms into the project applications in </w:t>
            </w:r>
            <w:r>
              <w:rPr>
                <w:i/>
                <w:sz w:val="24"/>
              </w:rPr>
              <w:t xml:space="preserve">e-snaps </w:t>
            </w:r>
            <w:r>
              <w:rPr>
                <w:sz w:val="24"/>
              </w:rPr>
              <w:t xml:space="preserve">and </w:t>
            </w:r>
            <w:r w:rsidRPr="008508C3">
              <w:rPr>
                <w:b/>
                <w:i/>
                <w:sz w:val="24"/>
              </w:rPr>
              <w:t>project applicants will not have access to the actual project application until these forms are reviewed for accuracy and certified.</w:t>
            </w:r>
            <w:r>
              <w:rPr>
                <w:sz w:val="24"/>
              </w:rPr>
              <w:t xml:space="preserve"> </w:t>
            </w:r>
            <w:r w:rsidR="00D130F1">
              <w:rPr>
                <w:sz w:val="24"/>
              </w:rPr>
              <w:t>When published by HUD, t</w:t>
            </w:r>
            <w:r>
              <w:rPr>
                <w:sz w:val="24"/>
              </w:rPr>
              <w:t xml:space="preserve">he Project Application Detailed Instructions </w:t>
            </w:r>
            <w:r w:rsidR="00D130F1">
              <w:rPr>
                <w:sz w:val="24"/>
              </w:rPr>
              <w:t xml:space="preserve"> will provide </w:t>
            </w:r>
            <w:r>
              <w:rPr>
                <w:sz w:val="24"/>
              </w:rPr>
              <w:t xml:space="preserve">information on completion and certification of the forms in </w:t>
            </w:r>
            <w:r>
              <w:rPr>
                <w:i/>
                <w:sz w:val="24"/>
              </w:rPr>
              <w:t>e-snaps</w:t>
            </w:r>
            <w:r>
              <w:rPr>
                <w:sz w:val="24"/>
              </w:rPr>
              <w:t xml:space="preserve">. </w:t>
            </w:r>
            <w:r w:rsidR="00D130F1">
              <w:rPr>
                <w:sz w:val="24"/>
              </w:rPr>
              <w:t xml:space="preserve"> Watch for release of the detailed instruction</w:t>
            </w:r>
            <w:r w:rsidR="009F1CA8">
              <w:rPr>
                <w:sz w:val="24"/>
              </w:rPr>
              <w:t xml:space="preserve">s at </w:t>
            </w:r>
          </w:p>
          <w:p w:rsidR="009F1CA8" w:rsidRDefault="009F1CA8" w:rsidP="009F1CA8">
            <w:pPr>
              <w:pStyle w:val="CommentText"/>
            </w:pPr>
            <w:r>
              <w:rPr>
                <w:sz w:val="24"/>
              </w:rPr>
              <w:t xml:space="preserve"> </w:t>
            </w:r>
            <w:r>
              <w:t xml:space="preserve">check: </w:t>
            </w:r>
            <w:r w:rsidRPr="008758AB">
              <w:t>https://www.hudexchange.info/resource/2910/coc-project-application-instructions-for-renewal-projects/</w:t>
            </w:r>
          </w:p>
          <w:p w:rsidR="009D7807" w:rsidRDefault="009D7807" w:rsidP="009D7807">
            <w:pPr>
              <w:pStyle w:val="TableParagraph"/>
              <w:ind w:right="200" w:hanging="1"/>
              <w:rPr>
                <w:sz w:val="24"/>
              </w:rPr>
            </w:pPr>
          </w:p>
          <w:p w:rsidR="009D7807" w:rsidRDefault="009D7807" w:rsidP="008758AB">
            <w:pPr>
              <w:pStyle w:val="TableParagraph"/>
              <w:ind w:right="200" w:hanging="1"/>
              <w:rPr>
                <w:sz w:val="24"/>
              </w:rPr>
            </w:pPr>
            <w:r w:rsidRPr="009D7807">
              <w:rPr>
                <w:i/>
                <w:sz w:val="24"/>
              </w:rPr>
              <w:t>Note:</w:t>
            </w:r>
            <w:r>
              <w:rPr>
                <w:sz w:val="24"/>
              </w:rPr>
              <w:t xml:space="preserve"> In past years, the NOFA TA team helped applicants review these documents and acquired the Certificate of Consistency after allocations were completed. In 2017 the Applicant Agency </w:t>
            </w:r>
            <w:r w:rsidRPr="009D7807">
              <w:rPr>
                <w:i/>
                <w:sz w:val="24"/>
              </w:rPr>
              <w:t>must complete these documents before accessing the project application</w:t>
            </w:r>
            <w:r>
              <w:rPr>
                <w:sz w:val="24"/>
              </w:rPr>
              <w:t xml:space="preserve"> in e-SNAPS.  </w:t>
            </w:r>
            <w:r w:rsidRPr="00DD01E4">
              <w:rPr>
                <w:b/>
                <w:i/>
                <w:color w:val="FF0000"/>
                <w:sz w:val="24"/>
              </w:rPr>
              <w:t xml:space="preserve">Please watch for additional </w:t>
            </w:r>
            <w:r w:rsidR="008758AB">
              <w:rPr>
                <w:b/>
                <w:i/>
                <w:color w:val="FF0000"/>
                <w:sz w:val="24"/>
              </w:rPr>
              <w:t>instructions</w:t>
            </w:r>
            <w:r w:rsidR="008758AB" w:rsidRPr="00DD01E4">
              <w:rPr>
                <w:b/>
                <w:i/>
                <w:color w:val="FF0000"/>
                <w:sz w:val="24"/>
              </w:rPr>
              <w:t xml:space="preserve"> </w:t>
            </w:r>
            <w:r w:rsidRPr="00DD01E4">
              <w:rPr>
                <w:b/>
                <w:i/>
                <w:color w:val="FF0000"/>
                <w:sz w:val="24"/>
              </w:rPr>
              <w:t>on this item</w:t>
            </w:r>
            <w:r w:rsidR="008758AB">
              <w:rPr>
                <w:b/>
                <w:i/>
                <w:color w:val="FF0000"/>
                <w:sz w:val="24"/>
              </w:rPr>
              <w:t xml:space="preserve"> and do not contact your PHA unless directed to do so.</w:t>
            </w:r>
          </w:p>
        </w:tc>
      </w:tr>
      <w:tr w:rsidR="00856917" w:rsidTr="001001E4">
        <w:trPr>
          <w:trHeight w:val="83"/>
        </w:trPr>
        <w:tc>
          <w:tcPr>
            <w:tcW w:w="1927" w:type="dxa"/>
          </w:tcPr>
          <w:p w:rsidR="00856917" w:rsidRDefault="009D7807">
            <w:pPr>
              <w:pStyle w:val="TableParagraph"/>
              <w:ind w:left="102" w:right="488"/>
              <w:rPr>
                <w:b/>
                <w:sz w:val="24"/>
              </w:rPr>
            </w:pPr>
            <w:r>
              <w:rPr>
                <w:b/>
                <w:sz w:val="24"/>
              </w:rPr>
              <w:t>C</w:t>
            </w:r>
            <w:r w:rsidR="00856917">
              <w:rPr>
                <w:b/>
                <w:sz w:val="24"/>
              </w:rPr>
              <w:t>ertification Regarding Lobbying</w:t>
            </w:r>
          </w:p>
        </w:tc>
        <w:tc>
          <w:tcPr>
            <w:tcW w:w="11028" w:type="dxa"/>
          </w:tcPr>
          <w:p w:rsidR="00856917" w:rsidRDefault="00A001B7" w:rsidP="009D7807">
            <w:pPr>
              <w:pStyle w:val="TableParagraph"/>
              <w:ind w:right="546"/>
              <w:rPr>
                <w:sz w:val="24"/>
              </w:rPr>
            </w:pPr>
            <w:r w:rsidRPr="00A001B7">
              <w:rPr>
                <w:b/>
                <w:i/>
                <w:sz w:val="24"/>
              </w:rPr>
              <w:t>All applicants</w:t>
            </w:r>
            <w:r w:rsidRPr="00A001B7">
              <w:rPr>
                <w:i/>
                <w:sz w:val="24"/>
              </w:rPr>
              <w:t xml:space="preserve"> must submit a signed Certification Regarding Lobbying.</w:t>
            </w:r>
            <w:r w:rsidR="00856917">
              <w:rPr>
                <w:sz w:val="24"/>
              </w:rPr>
              <w:t xml:space="preserve"> </w:t>
            </w:r>
            <w:r w:rsidR="009D7807">
              <w:rPr>
                <w:sz w:val="24"/>
              </w:rPr>
              <w:t>U</w:t>
            </w:r>
            <w:r w:rsidR="00856917">
              <w:rPr>
                <w:sz w:val="24"/>
              </w:rPr>
              <w:t>se of federal award funds for lobbying the executive or legislative branches of the Federal government in c</w:t>
            </w:r>
            <w:r w:rsidR="009D7807">
              <w:rPr>
                <w:sz w:val="24"/>
              </w:rPr>
              <w:t>onnection with a specific award is prohibited.</w:t>
            </w:r>
            <w:r w:rsidR="00856917">
              <w:rPr>
                <w:sz w:val="24"/>
              </w:rPr>
              <w:t xml:space="preserve"> </w:t>
            </w:r>
            <w:r w:rsidR="00856917" w:rsidRPr="009D7807">
              <w:rPr>
                <w:i/>
                <w:sz w:val="24"/>
              </w:rPr>
              <w:t xml:space="preserve">This requirement is </w:t>
            </w:r>
            <w:r w:rsidR="00856917" w:rsidRPr="00DD01E4">
              <w:rPr>
                <w:i/>
                <w:sz w:val="24"/>
                <w:u w:val="single"/>
              </w:rPr>
              <w:t>different and separate from the requirement for applicants to report lobbying activities using the SF-LLL</w:t>
            </w:r>
            <w:r w:rsidRPr="00DD01E4">
              <w:rPr>
                <w:sz w:val="24"/>
                <w:u w:val="single"/>
              </w:rPr>
              <w:t xml:space="preserve"> form</w:t>
            </w:r>
            <w:r>
              <w:rPr>
                <w:sz w:val="24"/>
              </w:rPr>
              <w:t>. Form SF LLL</w:t>
            </w:r>
            <w:r w:rsidR="00856917">
              <w:rPr>
                <w:sz w:val="24"/>
              </w:rPr>
              <w:t xml:space="preserve"> must </w:t>
            </w:r>
            <w:r>
              <w:rPr>
                <w:sz w:val="24"/>
              </w:rPr>
              <w:t>still be submitted by applicants</w:t>
            </w:r>
            <w:r w:rsidR="00856917">
              <w:rPr>
                <w:sz w:val="24"/>
              </w:rPr>
              <w:t xml:space="preserve"> that lobby or intend to lobby using non-federal funds. </w:t>
            </w:r>
            <w:r>
              <w:rPr>
                <w:sz w:val="24"/>
              </w:rPr>
              <w:t xml:space="preserve">A </w:t>
            </w:r>
            <w:r w:rsidR="00856917">
              <w:rPr>
                <w:sz w:val="24"/>
              </w:rPr>
              <w:t>federally-recognized Indian tribe</w:t>
            </w:r>
            <w:r>
              <w:rPr>
                <w:sz w:val="24"/>
              </w:rPr>
              <w:t xml:space="preserve"> is exempt. </w:t>
            </w:r>
          </w:p>
          <w:p w:rsidR="00A001B7" w:rsidRDefault="00A001B7" w:rsidP="009D7807">
            <w:pPr>
              <w:pStyle w:val="TableParagraph"/>
              <w:ind w:right="546"/>
              <w:rPr>
                <w:sz w:val="24"/>
              </w:rPr>
            </w:pPr>
          </w:p>
          <w:p w:rsidR="00856917" w:rsidRDefault="00A001B7" w:rsidP="00A001B7">
            <w:pPr>
              <w:pStyle w:val="TableParagraph"/>
              <w:spacing w:before="11"/>
              <w:ind w:left="138"/>
              <w:rPr>
                <w:sz w:val="23"/>
              </w:rPr>
            </w:pPr>
            <w:r w:rsidRPr="00A001B7">
              <w:rPr>
                <w:i/>
                <w:sz w:val="23"/>
                <w:u w:val="single"/>
              </w:rPr>
              <w:t>Note:</w:t>
            </w:r>
            <w:r>
              <w:rPr>
                <w:sz w:val="23"/>
              </w:rPr>
              <w:t xml:space="preserve"> This is one of four forms that must be submitted in e-SNAPS in order to be able to access the application.</w:t>
            </w:r>
          </w:p>
          <w:p w:rsidR="00856917" w:rsidRDefault="00856917">
            <w:pPr>
              <w:pStyle w:val="TableParagraph"/>
              <w:spacing w:line="270" w:lineRule="atLeast"/>
              <w:ind w:right="568"/>
              <w:rPr>
                <w:sz w:val="24"/>
              </w:rPr>
            </w:pPr>
          </w:p>
        </w:tc>
      </w:tr>
      <w:tr w:rsidR="001B77CD" w:rsidTr="001001E4">
        <w:trPr>
          <w:trHeight w:val="4960"/>
        </w:trPr>
        <w:tc>
          <w:tcPr>
            <w:tcW w:w="1927" w:type="dxa"/>
            <w:tcBorders>
              <w:bottom w:val="single" w:sz="4" w:space="0" w:color="auto"/>
            </w:tcBorders>
          </w:tcPr>
          <w:p w:rsidR="001B77CD" w:rsidRDefault="001B77CD">
            <w:pPr>
              <w:pStyle w:val="TableParagraph"/>
              <w:ind w:left="102" w:right="914"/>
              <w:rPr>
                <w:b/>
                <w:sz w:val="24"/>
              </w:rPr>
            </w:pPr>
            <w:r>
              <w:rPr>
                <w:b/>
                <w:sz w:val="24"/>
              </w:rPr>
              <w:lastRenderedPageBreak/>
              <w:t>Code of Conduct</w:t>
            </w:r>
          </w:p>
        </w:tc>
        <w:tc>
          <w:tcPr>
            <w:tcW w:w="11028" w:type="dxa"/>
            <w:tcBorders>
              <w:bottom w:val="single" w:sz="4" w:space="0" w:color="auto"/>
            </w:tcBorders>
          </w:tcPr>
          <w:p w:rsidR="001B77CD" w:rsidRDefault="00843DA9" w:rsidP="004E2C47">
            <w:pPr>
              <w:pStyle w:val="TableParagraph"/>
              <w:ind w:right="152"/>
              <w:rPr>
                <w:sz w:val="24"/>
              </w:rPr>
            </w:pPr>
            <w:r w:rsidRPr="00843DA9">
              <w:rPr>
                <w:i/>
                <w:sz w:val="24"/>
              </w:rPr>
              <w:t>Many Codes of Conduct previously</w:t>
            </w:r>
            <w:r w:rsidR="008758AB">
              <w:rPr>
                <w:i/>
                <w:sz w:val="24"/>
              </w:rPr>
              <w:t xml:space="preserve"> listed</w:t>
            </w:r>
            <w:r w:rsidRPr="00843DA9">
              <w:rPr>
                <w:i/>
                <w:sz w:val="24"/>
              </w:rPr>
              <w:t xml:space="preserve"> on HUD’s website were removed</w:t>
            </w:r>
            <w:r>
              <w:rPr>
                <w:sz w:val="24"/>
              </w:rPr>
              <w:t xml:space="preserve">  because they were not in compliance </w:t>
            </w:r>
            <w:r w:rsidR="004E2C47">
              <w:rPr>
                <w:sz w:val="24"/>
              </w:rPr>
              <w:t xml:space="preserve">with the new 2 CFR part 200. </w:t>
            </w:r>
            <w:r w:rsidR="001B77CD">
              <w:rPr>
                <w:sz w:val="24"/>
              </w:rPr>
              <w:t>If your organization’s Code of Conduct is no</w:t>
            </w:r>
            <w:r w:rsidR="004E2C47">
              <w:rPr>
                <w:sz w:val="24"/>
              </w:rPr>
              <w:t>t</w:t>
            </w:r>
            <w:r w:rsidR="001B77CD">
              <w:rPr>
                <w:sz w:val="24"/>
              </w:rPr>
              <w:t xml:space="preserve"> </w:t>
            </w:r>
            <w:r w:rsidR="004E2C47">
              <w:rPr>
                <w:sz w:val="24"/>
              </w:rPr>
              <w:t>listed on HUD’s website,</w:t>
            </w:r>
            <w:r w:rsidR="001B77CD">
              <w:rPr>
                <w:sz w:val="24"/>
              </w:rPr>
              <w:t xml:space="preserve"> </w:t>
            </w:r>
            <w:r w:rsidR="001B77CD" w:rsidRPr="004E2C47">
              <w:rPr>
                <w:i/>
                <w:sz w:val="24"/>
              </w:rPr>
              <w:t xml:space="preserve">you must attach an updated Code of Conduct to your </w:t>
            </w:r>
            <w:r w:rsidR="004E2C47">
              <w:rPr>
                <w:i/>
                <w:sz w:val="24"/>
              </w:rPr>
              <w:t>Ap</w:t>
            </w:r>
            <w:r w:rsidR="001B77CD" w:rsidRPr="004E2C47">
              <w:rPr>
                <w:i/>
                <w:sz w:val="24"/>
              </w:rPr>
              <w:t>plicant</w:t>
            </w:r>
            <w:r w:rsidR="001B77CD">
              <w:rPr>
                <w:sz w:val="24"/>
              </w:rPr>
              <w:t xml:space="preserve"> </w:t>
            </w:r>
            <w:r w:rsidR="001B77CD" w:rsidRPr="004E2C47">
              <w:rPr>
                <w:i/>
                <w:sz w:val="24"/>
              </w:rPr>
              <w:t>Profile.</w:t>
            </w:r>
            <w:r w:rsidR="001B77CD">
              <w:rPr>
                <w:sz w:val="24"/>
              </w:rPr>
              <w:t xml:space="preserve"> </w:t>
            </w:r>
          </w:p>
          <w:p w:rsidR="004E2C47" w:rsidRDefault="004E2C47">
            <w:pPr>
              <w:pStyle w:val="TableParagraph"/>
              <w:rPr>
                <w:sz w:val="24"/>
              </w:rPr>
            </w:pPr>
          </w:p>
          <w:p w:rsidR="001B77CD" w:rsidRDefault="004E2C47">
            <w:pPr>
              <w:pStyle w:val="TableParagraph"/>
              <w:rPr>
                <w:sz w:val="24"/>
              </w:rPr>
            </w:pPr>
            <w:r>
              <w:rPr>
                <w:sz w:val="24"/>
              </w:rPr>
              <w:t xml:space="preserve">Your new </w:t>
            </w:r>
            <w:r w:rsidR="001B77CD">
              <w:rPr>
                <w:sz w:val="24"/>
              </w:rPr>
              <w:t xml:space="preserve">Codes of Conduct </w:t>
            </w:r>
            <w:r w:rsidR="001B77CD" w:rsidRPr="00A54285">
              <w:rPr>
                <w:b/>
                <w:i/>
                <w:sz w:val="24"/>
              </w:rPr>
              <w:t>must</w:t>
            </w:r>
            <w:r w:rsidR="001B77CD" w:rsidRPr="004E2C47">
              <w:rPr>
                <w:i/>
                <w:sz w:val="24"/>
              </w:rPr>
              <w:t>:</w:t>
            </w:r>
          </w:p>
          <w:p w:rsidR="001B77CD" w:rsidRDefault="001B77CD" w:rsidP="00A54285">
            <w:pPr>
              <w:pStyle w:val="TableParagraph"/>
              <w:numPr>
                <w:ilvl w:val="0"/>
                <w:numId w:val="1"/>
              </w:numPr>
              <w:tabs>
                <w:tab w:val="left" w:pos="343"/>
              </w:tabs>
              <w:ind w:left="318" w:right="277" w:hanging="215"/>
              <w:rPr>
                <w:sz w:val="24"/>
              </w:rPr>
            </w:pPr>
            <w:r>
              <w:rPr>
                <w:sz w:val="24"/>
              </w:rPr>
              <w:t xml:space="preserve">Be </w:t>
            </w:r>
            <w:r w:rsidR="00A805B7">
              <w:rPr>
                <w:sz w:val="24"/>
              </w:rPr>
              <w:t>accompanied</w:t>
            </w:r>
            <w:r>
              <w:rPr>
                <w:sz w:val="24"/>
              </w:rPr>
              <w:t xml:space="preserve"> by a</w:t>
            </w:r>
            <w:r w:rsidR="00A805B7">
              <w:rPr>
                <w:sz w:val="24"/>
              </w:rPr>
              <w:t xml:space="preserve"> cover</w:t>
            </w:r>
            <w:r>
              <w:rPr>
                <w:sz w:val="24"/>
              </w:rPr>
              <w:t xml:space="preserve"> letter on company letterhead that provides the name and title of the responsible official</w:t>
            </w:r>
            <w:r w:rsidR="00A805B7">
              <w:rPr>
                <w:sz w:val="24"/>
              </w:rPr>
              <w:t xml:space="preserve"> (e.g., the Director of HR)</w:t>
            </w:r>
            <w:r>
              <w:rPr>
                <w:sz w:val="24"/>
              </w:rPr>
              <w:t>, mailing address, business telephone number and email</w:t>
            </w:r>
            <w:r>
              <w:rPr>
                <w:spacing w:val="-25"/>
                <w:sz w:val="24"/>
              </w:rPr>
              <w:t xml:space="preserve"> </w:t>
            </w:r>
            <w:r>
              <w:rPr>
                <w:sz w:val="24"/>
              </w:rPr>
              <w:t>address;</w:t>
            </w:r>
          </w:p>
          <w:p w:rsidR="001B77CD" w:rsidRDefault="001B77CD" w:rsidP="00A54285">
            <w:pPr>
              <w:pStyle w:val="TableParagraph"/>
              <w:numPr>
                <w:ilvl w:val="0"/>
                <w:numId w:val="1"/>
              </w:numPr>
              <w:tabs>
                <w:tab w:val="left" w:pos="343"/>
              </w:tabs>
              <w:ind w:left="318" w:right="137" w:hanging="215"/>
              <w:rPr>
                <w:sz w:val="24"/>
              </w:rPr>
            </w:pPr>
            <w:r>
              <w:rPr>
                <w:sz w:val="24"/>
              </w:rPr>
              <w:t>Prohibit real and apparent conflicts of interest that may arise among officers, employees or agents, or any member of his or her immediate family, his or her partner or an organization that employs any of the indicated</w:t>
            </w:r>
            <w:r>
              <w:rPr>
                <w:spacing w:val="-16"/>
                <w:sz w:val="24"/>
              </w:rPr>
              <w:t xml:space="preserve"> </w:t>
            </w:r>
            <w:r>
              <w:rPr>
                <w:sz w:val="24"/>
              </w:rPr>
              <w:t>parties;</w:t>
            </w:r>
          </w:p>
          <w:p w:rsidR="001B77CD" w:rsidRDefault="001B77CD" w:rsidP="00A54285">
            <w:pPr>
              <w:pStyle w:val="TableParagraph"/>
              <w:numPr>
                <w:ilvl w:val="0"/>
                <w:numId w:val="1"/>
              </w:numPr>
              <w:tabs>
                <w:tab w:val="left" w:pos="346"/>
              </w:tabs>
              <w:ind w:left="318" w:hanging="215"/>
              <w:rPr>
                <w:sz w:val="24"/>
              </w:rPr>
            </w:pPr>
            <w:r>
              <w:rPr>
                <w:sz w:val="24"/>
              </w:rPr>
              <w:t>If applicable, the standards must also cover organizational conflicts of</w:t>
            </w:r>
            <w:r>
              <w:rPr>
                <w:spacing w:val="-26"/>
                <w:sz w:val="24"/>
              </w:rPr>
              <w:t xml:space="preserve"> </w:t>
            </w:r>
            <w:r>
              <w:rPr>
                <w:sz w:val="24"/>
              </w:rPr>
              <w:t>interest;</w:t>
            </w:r>
          </w:p>
          <w:p w:rsidR="001B77CD" w:rsidRDefault="001B77CD" w:rsidP="00A54285">
            <w:pPr>
              <w:pStyle w:val="TableParagraph"/>
              <w:numPr>
                <w:ilvl w:val="0"/>
                <w:numId w:val="1"/>
              </w:numPr>
              <w:tabs>
                <w:tab w:val="left" w:pos="343"/>
              </w:tabs>
              <w:spacing w:line="270" w:lineRule="atLeast"/>
              <w:ind w:left="318" w:right="688" w:hanging="215"/>
              <w:rPr>
                <w:sz w:val="24"/>
              </w:rPr>
            </w:pPr>
            <w:r>
              <w:rPr>
                <w:sz w:val="24"/>
              </w:rPr>
              <w:t>Prohibit the solicitation and acceptance by employees, of gifts or gratuities in excess of minimum value;</w:t>
            </w:r>
            <w:r>
              <w:rPr>
                <w:spacing w:val="-3"/>
                <w:sz w:val="24"/>
              </w:rPr>
              <w:t xml:space="preserve"> </w:t>
            </w:r>
            <w:r>
              <w:rPr>
                <w:sz w:val="24"/>
              </w:rPr>
              <w:t>and</w:t>
            </w:r>
            <w:r w:rsidR="00A54285">
              <w:rPr>
                <w:sz w:val="24"/>
              </w:rPr>
              <w:t xml:space="preserve"> </w:t>
            </w:r>
          </w:p>
          <w:p w:rsidR="00A54285" w:rsidRDefault="00A54285" w:rsidP="00A54285">
            <w:pPr>
              <w:pStyle w:val="TableParagraph"/>
              <w:ind w:left="318" w:right="779" w:hanging="215"/>
              <w:rPr>
                <w:sz w:val="24"/>
              </w:rPr>
            </w:pPr>
            <w:r>
              <w:rPr>
                <w:sz w:val="24"/>
              </w:rPr>
              <w:t>5. Provide for administrative and disciplinary actions to be applied for violations of such standards.</w:t>
            </w:r>
          </w:p>
          <w:p w:rsidR="00A54285" w:rsidRDefault="00A54285" w:rsidP="00A54285">
            <w:pPr>
              <w:pStyle w:val="TableParagraph"/>
              <w:spacing w:before="11"/>
              <w:ind w:left="0"/>
              <w:rPr>
                <w:sz w:val="23"/>
              </w:rPr>
            </w:pPr>
          </w:p>
          <w:p w:rsidR="00A54285" w:rsidRDefault="00A54285" w:rsidP="00A805B7">
            <w:pPr>
              <w:pStyle w:val="TableParagraph"/>
              <w:tabs>
                <w:tab w:val="left" w:pos="343"/>
              </w:tabs>
              <w:spacing w:line="270" w:lineRule="atLeast"/>
              <w:ind w:right="688"/>
              <w:rPr>
                <w:sz w:val="24"/>
              </w:rPr>
            </w:pPr>
            <w:r w:rsidRPr="004E2C47">
              <w:rPr>
                <w:i/>
                <w:sz w:val="24"/>
              </w:rPr>
              <w:t>Note:</w:t>
            </w:r>
            <w:r>
              <w:rPr>
                <w:sz w:val="24"/>
              </w:rPr>
              <w:t xml:space="preserve"> Prior to submitting a project to the 2017 Priorities List, the RTFH will require each organization not listed at </w:t>
            </w:r>
            <w:hyperlink r:id="rId14" w:history="1">
              <w:r w:rsidRPr="00CF5C00">
                <w:rPr>
                  <w:rStyle w:val="Hyperlink"/>
                  <w:sz w:val="24"/>
                </w:rPr>
                <w:t>https://portal.hud.gov/hudportal/HUD?src=/program_offices/spm/gmomgmt/grantsinfo/conduct</w:t>
              </w:r>
            </w:hyperlink>
            <w:r>
              <w:rPr>
                <w:sz w:val="24"/>
              </w:rPr>
              <w:t xml:space="preserve"> to attach a Code of Conduct meeting all 5 of the criteria above to your Project Applicant Profile.</w:t>
            </w:r>
          </w:p>
          <w:p w:rsidR="00A805B7" w:rsidRDefault="00A805B7" w:rsidP="00A805B7">
            <w:pPr>
              <w:pStyle w:val="TableParagraph"/>
              <w:tabs>
                <w:tab w:val="left" w:pos="343"/>
              </w:tabs>
              <w:spacing w:line="270" w:lineRule="atLeast"/>
              <w:ind w:right="688"/>
              <w:rPr>
                <w:sz w:val="24"/>
              </w:rPr>
            </w:pPr>
          </w:p>
          <w:p w:rsidR="00A805B7" w:rsidRPr="00A805B7" w:rsidRDefault="00A805B7" w:rsidP="00A805B7">
            <w:pPr>
              <w:pStyle w:val="TableParagraph"/>
              <w:tabs>
                <w:tab w:val="left" w:pos="343"/>
              </w:tabs>
              <w:spacing w:line="270" w:lineRule="atLeast"/>
              <w:ind w:right="688"/>
              <w:rPr>
                <w:sz w:val="24"/>
              </w:rPr>
            </w:pPr>
            <w:r>
              <w:rPr>
                <w:i/>
                <w:sz w:val="24"/>
              </w:rPr>
              <w:t>Note</w:t>
            </w:r>
            <w:r>
              <w:rPr>
                <w:sz w:val="24"/>
              </w:rPr>
              <w:t>: If attaching a comprehensive employee manual that covers these five items, it is helpful to specify in the required cover letter what page(s) each item may be found on.</w:t>
            </w:r>
          </w:p>
        </w:tc>
      </w:tr>
      <w:tr w:rsidR="007E6327" w:rsidTr="001001E4">
        <w:trPr>
          <w:trHeight w:val="260"/>
        </w:trPr>
        <w:tc>
          <w:tcPr>
            <w:tcW w:w="1927" w:type="dxa"/>
            <w:tcBorders>
              <w:top w:val="single" w:sz="4" w:space="0" w:color="auto"/>
              <w:left w:val="single" w:sz="4" w:space="0" w:color="auto"/>
              <w:bottom w:val="nil"/>
            </w:tcBorders>
          </w:tcPr>
          <w:p w:rsidR="007E6327" w:rsidRDefault="007E6327">
            <w:pPr>
              <w:pStyle w:val="TableParagraph"/>
              <w:spacing w:line="255" w:lineRule="exact"/>
              <w:ind w:left="102"/>
              <w:rPr>
                <w:b/>
                <w:sz w:val="24"/>
              </w:rPr>
            </w:pPr>
            <w:r>
              <w:rPr>
                <w:b/>
                <w:sz w:val="24"/>
              </w:rPr>
              <w:t>Renewal Project</w:t>
            </w:r>
          </w:p>
          <w:p w:rsidR="007E6327" w:rsidRDefault="007E6327">
            <w:pPr>
              <w:pStyle w:val="TableParagraph"/>
              <w:spacing w:line="255" w:lineRule="exact"/>
              <w:ind w:left="102"/>
              <w:rPr>
                <w:b/>
                <w:sz w:val="24"/>
              </w:rPr>
            </w:pPr>
            <w:r>
              <w:rPr>
                <w:b/>
                <w:sz w:val="24"/>
              </w:rPr>
              <w:t>Applications</w:t>
            </w:r>
          </w:p>
        </w:tc>
        <w:tc>
          <w:tcPr>
            <w:tcW w:w="11028" w:type="dxa"/>
            <w:tcBorders>
              <w:top w:val="single" w:sz="4" w:space="0" w:color="auto"/>
              <w:bottom w:val="nil"/>
              <w:right w:val="single" w:sz="4" w:space="0" w:color="auto"/>
            </w:tcBorders>
          </w:tcPr>
          <w:p w:rsidR="007E6327" w:rsidRDefault="007E6327" w:rsidP="007E6327">
            <w:pPr>
              <w:pStyle w:val="TableParagraph"/>
              <w:spacing w:line="255" w:lineRule="exact"/>
              <w:rPr>
                <w:sz w:val="24"/>
              </w:rPr>
            </w:pPr>
            <w:r>
              <w:rPr>
                <w:sz w:val="24"/>
              </w:rPr>
              <w:t>Importing your prior application: Project applicants that have renewed at least once in a previous CoC Competition can import application details from 2016 and identify select screens to submit without changes. After the required forms and certifications are complete, review the imported data as a “read only” and use the Submission Without Changes screen to select and unl</w:t>
            </w:r>
            <w:r w:rsidR="00A805B7">
              <w:rPr>
                <w:sz w:val="24"/>
              </w:rPr>
              <w:t>o</w:t>
            </w:r>
            <w:r>
              <w:rPr>
                <w:sz w:val="24"/>
              </w:rPr>
              <w:t>ck any items that need editing.</w:t>
            </w:r>
          </w:p>
        </w:tc>
      </w:tr>
      <w:tr w:rsidR="004E2C47" w:rsidTr="001001E4">
        <w:trPr>
          <w:trHeight w:val="260"/>
        </w:trPr>
        <w:tc>
          <w:tcPr>
            <w:tcW w:w="1927" w:type="dxa"/>
            <w:tcBorders>
              <w:top w:val="single" w:sz="4" w:space="0" w:color="auto"/>
              <w:left w:val="single" w:sz="4" w:space="0" w:color="auto"/>
              <w:bottom w:val="single" w:sz="4" w:space="0" w:color="auto"/>
            </w:tcBorders>
          </w:tcPr>
          <w:p w:rsidR="004E2C47" w:rsidRPr="00CF19B6" w:rsidRDefault="00CF19B6" w:rsidP="00CF19B6">
            <w:pPr>
              <w:pStyle w:val="TableParagraph"/>
              <w:ind w:left="0"/>
              <w:jc w:val="center"/>
              <w:rPr>
                <w:b/>
                <w:sz w:val="20"/>
              </w:rPr>
            </w:pPr>
            <w:r>
              <w:rPr>
                <w:b/>
                <w:sz w:val="20"/>
              </w:rPr>
              <w:t>Violence Against Women Act</w:t>
            </w:r>
          </w:p>
        </w:tc>
        <w:tc>
          <w:tcPr>
            <w:tcW w:w="11028" w:type="dxa"/>
            <w:tcBorders>
              <w:top w:val="single" w:sz="4" w:space="0" w:color="auto"/>
              <w:bottom w:val="single" w:sz="4" w:space="0" w:color="auto"/>
              <w:right w:val="single" w:sz="4" w:space="0" w:color="auto"/>
            </w:tcBorders>
          </w:tcPr>
          <w:p w:rsidR="004E2C47" w:rsidRDefault="00CF19B6" w:rsidP="009F1CA8">
            <w:pPr>
              <w:pStyle w:val="TableParagraph"/>
              <w:spacing w:line="259" w:lineRule="exact"/>
              <w:ind w:left="138" w:hanging="138"/>
              <w:rPr>
                <w:sz w:val="24"/>
              </w:rPr>
            </w:pPr>
            <w:r>
              <w:rPr>
                <w:sz w:val="24"/>
              </w:rPr>
              <w:t xml:space="preserve">  The CoC must have an emergency transfer plan and make</w:t>
            </w:r>
            <w:r w:rsidR="00A805B7">
              <w:rPr>
                <w:sz w:val="24"/>
              </w:rPr>
              <w:t xml:space="preserve"> r</w:t>
            </w:r>
            <w:r>
              <w:rPr>
                <w:sz w:val="24"/>
              </w:rPr>
              <w:t xml:space="preserve">elated updates </w:t>
            </w:r>
            <w:r w:rsidR="00A805B7">
              <w:rPr>
                <w:sz w:val="24"/>
              </w:rPr>
              <w:t xml:space="preserve">in </w:t>
            </w:r>
            <w:r>
              <w:rPr>
                <w:sz w:val="24"/>
              </w:rPr>
              <w:t>the RTFH Written Standards before the first grant agreement under the NOFA is issued.</w:t>
            </w:r>
          </w:p>
        </w:tc>
      </w:tr>
    </w:tbl>
    <w:p w:rsidR="009D1E52" w:rsidRDefault="009D1E52"/>
    <w:sectPr w:rsidR="009D1E52" w:rsidSect="00956508">
      <w:pgSz w:w="15840" w:h="12240" w:orient="landscape"/>
      <w:pgMar w:top="1140" w:right="1320" w:bottom="1140" w:left="1340" w:header="0" w:footer="9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6D" w:rsidRDefault="00AF6D6D">
      <w:r>
        <w:separator/>
      </w:r>
    </w:p>
  </w:endnote>
  <w:endnote w:type="continuationSeparator" w:id="0">
    <w:p w:rsidR="00AF6D6D" w:rsidRDefault="00AF6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E5" w:rsidRPr="007F50D0" w:rsidRDefault="00B57EE6" w:rsidP="007F50D0">
    <w:pPr>
      <w:pStyle w:val="Footer"/>
    </w:pPr>
    <w:fldSimple w:instr=" DATE   \* MERGEFORMAT ">
      <w:r w:rsidR="00F57719">
        <w:rPr>
          <w:noProof/>
        </w:rPr>
        <w:t>7/21/2017</w:t>
      </w:r>
    </w:fldSimple>
    <w:r w:rsidR="00A25E8B">
      <w:rPr>
        <w:noProof/>
      </w:rPr>
      <w:tab/>
    </w:r>
    <w:fldSimple w:instr=" FILENAME   \* MERGEFORMAT ">
      <w:r w:rsidR="005F02AA">
        <w:rPr>
          <w:noProof/>
        </w:rPr>
        <w:t>FY - 2017-CoC-Program-SD highlights - for distribution</w:t>
      </w:r>
    </w:fldSimple>
    <w:r w:rsidR="007F50D0">
      <w:tab/>
    </w:r>
    <w:r>
      <w:fldChar w:fldCharType="begin"/>
    </w:r>
    <w:r w:rsidR="007F50D0">
      <w:instrText xml:space="preserve"> PAGE  \* Arabic  \* MERGEFORMAT </w:instrText>
    </w:r>
    <w:r>
      <w:fldChar w:fldCharType="separate"/>
    </w:r>
    <w:r w:rsidR="00F57719">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D8" w:rsidRPr="007F50D0" w:rsidRDefault="00B57EE6" w:rsidP="00686ED8">
    <w:pPr>
      <w:pStyle w:val="Footer"/>
      <w:tabs>
        <w:tab w:val="left" w:pos="5040"/>
      </w:tabs>
    </w:pPr>
    <w:fldSimple w:instr=" DATE   \* MERGEFORMAT ">
      <w:r w:rsidR="00F57719">
        <w:rPr>
          <w:noProof/>
        </w:rPr>
        <w:t>7/21/2017</w:t>
      </w:r>
    </w:fldSimple>
    <w:r w:rsidR="00686ED8">
      <w:rPr>
        <w:noProof/>
      </w:rPr>
      <w:tab/>
    </w:r>
    <w:r w:rsidR="00686ED8">
      <w:rPr>
        <w:noProof/>
      </w:rPr>
      <w:tab/>
    </w:r>
    <w:fldSimple w:instr=" FILENAME   \* MERGEFORMAT ">
      <w:r w:rsidR="005F02AA">
        <w:rPr>
          <w:noProof/>
        </w:rPr>
        <w:t>FY - 2017-CoC-Program-SD highlights - for distribution</w:t>
      </w:r>
    </w:fldSimple>
    <w:r w:rsidR="00686ED8">
      <w:tab/>
    </w:r>
    <w:r w:rsidR="00686ED8">
      <w:tab/>
    </w:r>
    <w:r w:rsidR="00686ED8">
      <w:tab/>
    </w:r>
    <w:r w:rsidR="00686ED8">
      <w:tab/>
    </w:r>
    <w:r w:rsidR="00686ED8">
      <w:tab/>
    </w:r>
    <w:r w:rsidR="00686ED8">
      <w:tab/>
    </w:r>
    <w:r>
      <w:fldChar w:fldCharType="begin"/>
    </w:r>
    <w:r w:rsidR="000D4E7C">
      <w:instrText xml:space="preserve"> PAGE  \* Arabic  \* MERGEFORMAT </w:instrText>
    </w:r>
    <w:r>
      <w:fldChar w:fldCharType="separate"/>
    </w:r>
    <w:r w:rsidR="00F57719">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6D" w:rsidRDefault="00AF6D6D">
      <w:r>
        <w:separator/>
      </w:r>
    </w:p>
  </w:footnote>
  <w:footnote w:type="continuationSeparator" w:id="0">
    <w:p w:rsidR="00AF6D6D" w:rsidRDefault="00AF6D6D">
      <w:r>
        <w:continuationSeparator/>
      </w:r>
    </w:p>
  </w:footnote>
  <w:footnote w:id="1">
    <w:p w:rsidR="001A786F" w:rsidRPr="003B2823" w:rsidRDefault="001A786F" w:rsidP="00D04F27">
      <w:pPr>
        <w:pStyle w:val="FootnoteText"/>
        <w:rPr>
          <w:sz w:val="18"/>
          <w:szCs w:val="18"/>
        </w:rPr>
      </w:pPr>
      <w:r w:rsidRPr="003B2823">
        <w:rPr>
          <w:rStyle w:val="FootnoteReference"/>
          <w:sz w:val="18"/>
          <w:szCs w:val="18"/>
        </w:rPr>
        <w:footnoteRef/>
      </w:r>
      <w:r w:rsidRPr="003B2823">
        <w:rPr>
          <w:sz w:val="18"/>
          <w:szCs w:val="18"/>
        </w:rPr>
        <w:t xml:space="preserve"> This document excerpts or directly copies sections from public documents released as HUD and USICH publications</w:t>
      </w:r>
      <w:r w:rsidR="00D04F27" w:rsidRPr="003B2823">
        <w:rPr>
          <w:sz w:val="18"/>
          <w:szCs w:val="18"/>
        </w:rPr>
        <w:t xml:space="preserve">. </w:t>
      </w:r>
      <w:r w:rsidR="003B2823">
        <w:rPr>
          <w:sz w:val="18"/>
          <w:szCs w:val="18"/>
        </w:rPr>
        <w:t xml:space="preserve"> </w:t>
      </w:r>
      <w:r w:rsidR="00D04F27" w:rsidRPr="003B2823">
        <w:rPr>
          <w:sz w:val="18"/>
          <w:szCs w:val="18"/>
        </w:rPr>
        <w:t>M</w:t>
      </w:r>
      <w:r w:rsidRPr="003B2823">
        <w:rPr>
          <w:sz w:val="18"/>
          <w:szCs w:val="18"/>
        </w:rPr>
        <w:t>aterial is attributed to the original publications: 2017 CoC NOFA; What’s New,</w:t>
      </w:r>
      <w:r w:rsidR="00D04F27" w:rsidRPr="003B2823">
        <w:rPr>
          <w:sz w:val="18"/>
          <w:szCs w:val="18"/>
        </w:rPr>
        <w:t xml:space="preserve"> Changed, H</w:t>
      </w:r>
      <w:r w:rsidRPr="003B2823">
        <w:rPr>
          <w:sz w:val="18"/>
          <w:szCs w:val="18"/>
        </w:rPr>
        <w:t>UD Optional Rating and Ranking Tool, and the HUD CoC Registration Notice.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6E" w:rsidRDefault="008F67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6E" w:rsidRDefault="008F67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6E" w:rsidRDefault="008F6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1F7"/>
    <w:multiLevelType w:val="hybridMultilevel"/>
    <w:tmpl w:val="39F248B6"/>
    <w:lvl w:ilvl="0" w:tplc="E390A266">
      <w:start w:val="4"/>
      <w:numFmt w:val="decimal"/>
      <w:lvlText w:val="%1."/>
      <w:lvlJc w:val="left"/>
      <w:pPr>
        <w:ind w:left="103" w:hanging="240"/>
      </w:pPr>
      <w:rPr>
        <w:rFonts w:ascii="Times New Roman" w:eastAsia="Times New Roman" w:hAnsi="Times New Roman" w:cs="Times New Roman" w:hint="default"/>
        <w:spacing w:val="-3"/>
        <w:w w:val="100"/>
        <w:sz w:val="24"/>
        <w:szCs w:val="24"/>
      </w:rPr>
    </w:lvl>
    <w:lvl w:ilvl="1" w:tplc="AA8E84D6">
      <w:numFmt w:val="bullet"/>
      <w:lvlText w:val="•"/>
      <w:lvlJc w:val="left"/>
      <w:pPr>
        <w:ind w:left="1030" w:hanging="240"/>
      </w:pPr>
      <w:rPr>
        <w:rFonts w:hint="default"/>
      </w:rPr>
    </w:lvl>
    <w:lvl w:ilvl="2" w:tplc="A82AFDB2">
      <w:numFmt w:val="bullet"/>
      <w:lvlText w:val="•"/>
      <w:lvlJc w:val="left"/>
      <w:pPr>
        <w:ind w:left="1961" w:hanging="240"/>
      </w:pPr>
      <w:rPr>
        <w:rFonts w:hint="default"/>
      </w:rPr>
    </w:lvl>
    <w:lvl w:ilvl="3" w:tplc="31166EBA">
      <w:numFmt w:val="bullet"/>
      <w:lvlText w:val="•"/>
      <w:lvlJc w:val="left"/>
      <w:pPr>
        <w:ind w:left="2892" w:hanging="240"/>
      </w:pPr>
      <w:rPr>
        <w:rFonts w:hint="default"/>
      </w:rPr>
    </w:lvl>
    <w:lvl w:ilvl="4" w:tplc="2F9849D6">
      <w:numFmt w:val="bullet"/>
      <w:lvlText w:val="•"/>
      <w:lvlJc w:val="left"/>
      <w:pPr>
        <w:ind w:left="3822" w:hanging="240"/>
      </w:pPr>
      <w:rPr>
        <w:rFonts w:hint="default"/>
      </w:rPr>
    </w:lvl>
    <w:lvl w:ilvl="5" w:tplc="E5325B36">
      <w:numFmt w:val="bullet"/>
      <w:lvlText w:val="•"/>
      <w:lvlJc w:val="left"/>
      <w:pPr>
        <w:ind w:left="4753" w:hanging="240"/>
      </w:pPr>
      <w:rPr>
        <w:rFonts w:hint="default"/>
      </w:rPr>
    </w:lvl>
    <w:lvl w:ilvl="6" w:tplc="A2504294">
      <w:numFmt w:val="bullet"/>
      <w:lvlText w:val="•"/>
      <w:lvlJc w:val="left"/>
      <w:pPr>
        <w:ind w:left="5684" w:hanging="240"/>
      </w:pPr>
      <w:rPr>
        <w:rFonts w:hint="default"/>
      </w:rPr>
    </w:lvl>
    <w:lvl w:ilvl="7" w:tplc="9704E9A0">
      <w:numFmt w:val="bullet"/>
      <w:lvlText w:val="•"/>
      <w:lvlJc w:val="left"/>
      <w:pPr>
        <w:ind w:left="6615" w:hanging="240"/>
      </w:pPr>
      <w:rPr>
        <w:rFonts w:hint="default"/>
      </w:rPr>
    </w:lvl>
    <w:lvl w:ilvl="8" w:tplc="5E6A607A">
      <w:numFmt w:val="bullet"/>
      <w:lvlText w:val="•"/>
      <w:lvlJc w:val="left"/>
      <w:pPr>
        <w:ind w:left="7545" w:hanging="240"/>
      </w:pPr>
      <w:rPr>
        <w:rFonts w:hint="default"/>
      </w:rPr>
    </w:lvl>
  </w:abstractNum>
  <w:abstractNum w:abstractNumId="1">
    <w:nsid w:val="48A075A0"/>
    <w:multiLevelType w:val="hybridMultilevel"/>
    <w:tmpl w:val="AB56A394"/>
    <w:lvl w:ilvl="0" w:tplc="0DCEF57C">
      <w:start w:val="1"/>
      <w:numFmt w:val="decimal"/>
      <w:lvlText w:val="%1."/>
      <w:lvlJc w:val="left"/>
      <w:pPr>
        <w:ind w:left="103" w:hanging="240"/>
      </w:pPr>
      <w:rPr>
        <w:rFonts w:ascii="Times New Roman" w:eastAsia="Times New Roman" w:hAnsi="Times New Roman" w:cs="Times New Roman" w:hint="default"/>
        <w:spacing w:val="-2"/>
        <w:w w:val="100"/>
        <w:sz w:val="24"/>
        <w:szCs w:val="24"/>
      </w:rPr>
    </w:lvl>
    <w:lvl w:ilvl="1" w:tplc="194239D0">
      <w:numFmt w:val="bullet"/>
      <w:lvlText w:val="•"/>
      <w:lvlJc w:val="left"/>
      <w:pPr>
        <w:ind w:left="1030" w:hanging="240"/>
      </w:pPr>
      <w:rPr>
        <w:rFonts w:hint="default"/>
      </w:rPr>
    </w:lvl>
    <w:lvl w:ilvl="2" w:tplc="4A4243C6">
      <w:numFmt w:val="bullet"/>
      <w:lvlText w:val="•"/>
      <w:lvlJc w:val="left"/>
      <w:pPr>
        <w:ind w:left="1961" w:hanging="240"/>
      </w:pPr>
      <w:rPr>
        <w:rFonts w:hint="default"/>
      </w:rPr>
    </w:lvl>
    <w:lvl w:ilvl="3" w:tplc="9166726C">
      <w:numFmt w:val="bullet"/>
      <w:lvlText w:val="•"/>
      <w:lvlJc w:val="left"/>
      <w:pPr>
        <w:ind w:left="2892" w:hanging="240"/>
      </w:pPr>
      <w:rPr>
        <w:rFonts w:hint="default"/>
      </w:rPr>
    </w:lvl>
    <w:lvl w:ilvl="4" w:tplc="030E80D8">
      <w:numFmt w:val="bullet"/>
      <w:lvlText w:val="•"/>
      <w:lvlJc w:val="left"/>
      <w:pPr>
        <w:ind w:left="3822" w:hanging="240"/>
      </w:pPr>
      <w:rPr>
        <w:rFonts w:hint="default"/>
      </w:rPr>
    </w:lvl>
    <w:lvl w:ilvl="5" w:tplc="650E498C">
      <w:numFmt w:val="bullet"/>
      <w:lvlText w:val="•"/>
      <w:lvlJc w:val="left"/>
      <w:pPr>
        <w:ind w:left="4753" w:hanging="240"/>
      </w:pPr>
      <w:rPr>
        <w:rFonts w:hint="default"/>
      </w:rPr>
    </w:lvl>
    <w:lvl w:ilvl="6" w:tplc="EA042F36">
      <w:numFmt w:val="bullet"/>
      <w:lvlText w:val="•"/>
      <w:lvlJc w:val="left"/>
      <w:pPr>
        <w:ind w:left="5684" w:hanging="240"/>
      </w:pPr>
      <w:rPr>
        <w:rFonts w:hint="default"/>
      </w:rPr>
    </w:lvl>
    <w:lvl w:ilvl="7" w:tplc="700018F2">
      <w:numFmt w:val="bullet"/>
      <w:lvlText w:val="•"/>
      <w:lvlJc w:val="left"/>
      <w:pPr>
        <w:ind w:left="6615" w:hanging="240"/>
      </w:pPr>
      <w:rPr>
        <w:rFonts w:hint="default"/>
      </w:rPr>
    </w:lvl>
    <w:lvl w:ilvl="8" w:tplc="78C24998">
      <w:numFmt w:val="bullet"/>
      <w:lvlText w:val="•"/>
      <w:lvlJc w:val="left"/>
      <w:pPr>
        <w:ind w:left="7545" w:hanging="240"/>
      </w:pPr>
      <w:rPr>
        <w:rFonts w:hint="default"/>
      </w:rPr>
    </w:lvl>
  </w:abstractNum>
  <w:abstractNum w:abstractNumId="2">
    <w:nsid w:val="506B6A44"/>
    <w:multiLevelType w:val="hybridMultilevel"/>
    <w:tmpl w:val="13D2BA8E"/>
    <w:lvl w:ilvl="0" w:tplc="6BA8AA66">
      <w:start w:val="1"/>
      <w:numFmt w:val="decimal"/>
      <w:lvlText w:val="%1."/>
      <w:lvlJc w:val="left"/>
      <w:pPr>
        <w:ind w:left="103" w:hanging="240"/>
      </w:pPr>
      <w:rPr>
        <w:rFonts w:ascii="Times New Roman" w:eastAsia="Times New Roman" w:hAnsi="Times New Roman" w:cs="Times New Roman" w:hint="default"/>
        <w:spacing w:val="-5"/>
        <w:w w:val="100"/>
        <w:sz w:val="24"/>
        <w:szCs w:val="24"/>
      </w:rPr>
    </w:lvl>
    <w:lvl w:ilvl="1" w:tplc="A8C06594">
      <w:numFmt w:val="bullet"/>
      <w:lvlText w:val="•"/>
      <w:lvlJc w:val="left"/>
      <w:pPr>
        <w:ind w:left="1030" w:hanging="240"/>
      </w:pPr>
      <w:rPr>
        <w:rFonts w:hint="default"/>
      </w:rPr>
    </w:lvl>
    <w:lvl w:ilvl="2" w:tplc="5F026CFA">
      <w:numFmt w:val="bullet"/>
      <w:lvlText w:val="•"/>
      <w:lvlJc w:val="left"/>
      <w:pPr>
        <w:ind w:left="1961" w:hanging="240"/>
      </w:pPr>
      <w:rPr>
        <w:rFonts w:hint="default"/>
      </w:rPr>
    </w:lvl>
    <w:lvl w:ilvl="3" w:tplc="16B6BE9E">
      <w:numFmt w:val="bullet"/>
      <w:lvlText w:val="•"/>
      <w:lvlJc w:val="left"/>
      <w:pPr>
        <w:ind w:left="2892" w:hanging="240"/>
      </w:pPr>
      <w:rPr>
        <w:rFonts w:hint="default"/>
      </w:rPr>
    </w:lvl>
    <w:lvl w:ilvl="4" w:tplc="243C7434">
      <w:numFmt w:val="bullet"/>
      <w:lvlText w:val="•"/>
      <w:lvlJc w:val="left"/>
      <w:pPr>
        <w:ind w:left="3822" w:hanging="240"/>
      </w:pPr>
      <w:rPr>
        <w:rFonts w:hint="default"/>
      </w:rPr>
    </w:lvl>
    <w:lvl w:ilvl="5" w:tplc="781AECFC">
      <w:numFmt w:val="bullet"/>
      <w:lvlText w:val="•"/>
      <w:lvlJc w:val="left"/>
      <w:pPr>
        <w:ind w:left="4753" w:hanging="240"/>
      </w:pPr>
      <w:rPr>
        <w:rFonts w:hint="default"/>
      </w:rPr>
    </w:lvl>
    <w:lvl w:ilvl="6" w:tplc="238C0E2C">
      <w:numFmt w:val="bullet"/>
      <w:lvlText w:val="•"/>
      <w:lvlJc w:val="left"/>
      <w:pPr>
        <w:ind w:left="5684" w:hanging="240"/>
      </w:pPr>
      <w:rPr>
        <w:rFonts w:hint="default"/>
      </w:rPr>
    </w:lvl>
    <w:lvl w:ilvl="7" w:tplc="F1B2B9AE">
      <w:numFmt w:val="bullet"/>
      <w:lvlText w:val="•"/>
      <w:lvlJc w:val="left"/>
      <w:pPr>
        <w:ind w:left="6615" w:hanging="240"/>
      </w:pPr>
      <w:rPr>
        <w:rFonts w:hint="default"/>
      </w:rPr>
    </w:lvl>
    <w:lvl w:ilvl="8" w:tplc="E90899AE">
      <w:numFmt w:val="bullet"/>
      <w:lvlText w:val="•"/>
      <w:lvlJc w:val="left"/>
      <w:pPr>
        <w:ind w:left="7545" w:hanging="240"/>
      </w:pPr>
      <w:rPr>
        <w:rFonts w:hint="default"/>
      </w:rPr>
    </w:lvl>
  </w:abstractNum>
  <w:abstractNum w:abstractNumId="3">
    <w:nsid w:val="54F73E74"/>
    <w:multiLevelType w:val="hybridMultilevel"/>
    <w:tmpl w:val="2592D008"/>
    <w:lvl w:ilvl="0" w:tplc="78827D8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
    <w:nsid w:val="58AA4A3A"/>
    <w:multiLevelType w:val="hybridMultilevel"/>
    <w:tmpl w:val="D20CD3BC"/>
    <w:lvl w:ilvl="0" w:tplc="58E81FAC">
      <w:start w:val="1"/>
      <w:numFmt w:val="decimal"/>
      <w:lvlText w:val="%1."/>
      <w:lvlJc w:val="left"/>
      <w:pPr>
        <w:ind w:left="103" w:hanging="240"/>
      </w:pPr>
      <w:rPr>
        <w:rFonts w:ascii="Times New Roman" w:eastAsia="Times New Roman" w:hAnsi="Times New Roman" w:cs="Times New Roman" w:hint="default"/>
        <w:spacing w:val="-5"/>
        <w:w w:val="100"/>
        <w:sz w:val="24"/>
        <w:szCs w:val="24"/>
      </w:rPr>
    </w:lvl>
    <w:lvl w:ilvl="1" w:tplc="70A862D8">
      <w:numFmt w:val="bullet"/>
      <w:lvlText w:val="•"/>
      <w:lvlJc w:val="left"/>
      <w:pPr>
        <w:ind w:left="1030" w:hanging="240"/>
      </w:pPr>
      <w:rPr>
        <w:rFonts w:hint="default"/>
      </w:rPr>
    </w:lvl>
    <w:lvl w:ilvl="2" w:tplc="826C00DE">
      <w:numFmt w:val="bullet"/>
      <w:lvlText w:val="•"/>
      <w:lvlJc w:val="left"/>
      <w:pPr>
        <w:ind w:left="1961" w:hanging="240"/>
      </w:pPr>
      <w:rPr>
        <w:rFonts w:hint="default"/>
      </w:rPr>
    </w:lvl>
    <w:lvl w:ilvl="3" w:tplc="929C0A4C">
      <w:numFmt w:val="bullet"/>
      <w:lvlText w:val="•"/>
      <w:lvlJc w:val="left"/>
      <w:pPr>
        <w:ind w:left="2892" w:hanging="240"/>
      </w:pPr>
      <w:rPr>
        <w:rFonts w:hint="default"/>
      </w:rPr>
    </w:lvl>
    <w:lvl w:ilvl="4" w:tplc="79088EAC">
      <w:numFmt w:val="bullet"/>
      <w:lvlText w:val="•"/>
      <w:lvlJc w:val="left"/>
      <w:pPr>
        <w:ind w:left="3822" w:hanging="240"/>
      </w:pPr>
      <w:rPr>
        <w:rFonts w:hint="default"/>
      </w:rPr>
    </w:lvl>
    <w:lvl w:ilvl="5" w:tplc="09F2CE94">
      <w:numFmt w:val="bullet"/>
      <w:lvlText w:val="•"/>
      <w:lvlJc w:val="left"/>
      <w:pPr>
        <w:ind w:left="4753" w:hanging="240"/>
      </w:pPr>
      <w:rPr>
        <w:rFonts w:hint="default"/>
      </w:rPr>
    </w:lvl>
    <w:lvl w:ilvl="6" w:tplc="B7024030">
      <w:numFmt w:val="bullet"/>
      <w:lvlText w:val="•"/>
      <w:lvlJc w:val="left"/>
      <w:pPr>
        <w:ind w:left="5684" w:hanging="240"/>
      </w:pPr>
      <w:rPr>
        <w:rFonts w:hint="default"/>
      </w:rPr>
    </w:lvl>
    <w:lvl w:ilvl="7" w:tplc="F468D208">
      <w:numFmt w:val="bullet"/>
      <w:lvlText w:val="•"/>
      <w:lvlJc w:val="left"/>
      <w:pPr>
        <w:ind w:left="6615" w:hanging="240"/>
      </w:pPr>
      <w:rPr>
        <w:rFonts w:hint="default"/>
      </w:rPr>
    </w:lvl>
    <w:lvl w:ilvl="8" w:tplc="FCCEEF7A">
      <w:numFmt w:val="bullet"/>
      <w:lvlText w:val="•"/>
      <w:lvlJc w:val="left"/>
      <w:pPr>
        <w:ind w:left="7545" w:hanging="240"/>
      </w:pPr>
      <w:rPr>
        <w:rFonts w:hint="default"/>
      </w:rPr>
    </w:lvl>
  </w:abstractNum>
  <w:abstractNum w:abstractNumId="5">
    <w:nsid w:val="5C4620C0"/>
    <w:multiLevelType w:val="hybridMultilevel"/>
    <w:tmpl w:val="5DE4774E"/>
    <w:lvl w:ilvl="0" w:tplc="5FEC72DC">
      <w:start w:val="1"/>
      <w:numFmt w:val="decimal"/>
      <w:lvlText w:val="%1."/>
      <w:lvlJc w:val="left"/>
      <w:pPr>
        <w:ind w:left="103" w:hanging="240"/>
      </w:pPr>
      <w:rPr>
        <w:rFonts w:ascii="Times New Roman" w:eastAsia="Times New Roman" w:hAnsi="Times New Roman" w:cs="Times New Roman" w:hint="default"/>
        <w:spacing w:val="-5"/>
        <w:w w:val="100"/>
        <w:sz w:val="24"/>
        <w:szCs w:val="24"/>
      </w:rPr>
    </w:lvl>
    <w:lvl w:ilvl="1" w:tplc="DD9C5692">
      <w:numFmt w:val="bullet"/>
      <w:lvlText w:val="•"/>
      <w:lvlJc w:val="left"/>
      <w:pPr>
        <w:ind w:left="1030" w:hanging="240"/>
      </w:pPr>
      <w:rPr>
        <w:rFonts w:hint="default"/>
      </w:rPr>
    </w:lvl>
    <w:lvl w:ilvl="2" w:tplc="AB74FF18">
      <w:numFmt w:val="bullet"/>
      <w:lvlText w:val="•"/>
      <w:lvlJc w:val="left"/>
      <w:pPr>
        <w:ind w:left="1961" w:hanging="240"/>
      </w:pPr>
      <w:rPr>
        <w:rFonts w:hint="default"/>
      </w:rPr>
    </w:lvl>
    <w:lvl w:ilvl="3" w:tplc="E112F2D4">
      <w:numFmt w:val="bullet"/>
      <w:lvlText w:val="•"/>
      <w:lvlJc w:val="left"/>
      <w:pPr>
        <w:ind w:left="2892" w:hanging="240"/>
      </w:pPr>
      <w:rPr>
        <w:rFonts w:hint="default"/>
      </w:rPr>
    </w:lvl>
    <w:lvl w:ilvl="4" w:tplc="67CA4D46">
      <w:numFmt w:val="bullet"/>
      <w:lvlText w:val="•"/>
      <w:lvlJc w:val="left"/>
      <w:pPr>
        <w:ind w:left="3822" w:hanging="240"/>
      </w:pPr>
      <w:rPr>
        <w:rFonts w:hint="default"/>
      </w:rPr>
    </w:lvl>
    <w:lvl w:ilvl="5" w:tplc="C3C885D2">
      <w:numFmt w:val="bullet"/>
      <w:lvlText w:val="•"/>
      <w:lvlJc w:val="left"/>
      <w:pPr>
        <w:ind w:left="4753" w:hanging="240"/>
      </w:pPr>
      <w:rPr>
        <w:rFonts w:hint="default"/>
      </w:rPr>
    </w:lvl>
    <w:lvl w:ilvl="6" w:tplc="62BA050E">
      <w:numFmt w:val="bullet"/>
      <w:lvlText w:val="•"/>
      <w:lvlJc w:val="left"/>
      <w:pPr>
        <w:ind w:left="5684" w:hanging="240"/>
      </w:pPr>
      <w:rPr>
        <w:rFonts w:hint="default"/>
      </w:rPr>
    </w:lvl>
    <w:lvl w:ilvl="7" w:tplc="495A9A4C">
      <w:numFmt w:val="bullet"/>
      <w:lvlText w:val="•"/>
      <w:lvlJc w:val="left"/>
      <w:pPr>
        <w:ind w:left="6615" w:hanging="240"/>
      </w:pPr>
      <w:rPr>
        <w:rFonts w:hint="default"/>
      </w:rPr>
    </w:lvl>
    <w:lvl w:ilvl="8" w:tplc="C57466FA">
      <w:numFmt w:val="bullet"/>
      <w:lvlText w:val="•"/>
      <w:lvlJc w:val="left"/>
      <w:pPr>
        <w:ind w:left="7545" w:hanging="240"/>
      </w:pPr>
      <w:rPr>
        <w:rFonts w:hint="default"/>
      </w:rPr>
    </w:lvl>
  </w:abstractNum>
  <w:abstractNum w:abstractNumId="6">
    <w:nsid w:val="626C1E04"/>
    <w:multiLevelType w:val="hybridMultilevel"/>
    <w:tmpl w:val="2BD86AE6"/>
    <w:lvl w:ilvl="0" w:tplc="0108078E">
      <w:start w:val="3"/>
      <w:numFmt w:val="bullet"/>
      <w:lvlText w:val=""/>
      <w:lvlJc w:val="left"/>
      <w:pPr>
        <w:ind w:left="462" w:hanging="360"/>
      </w:pPr>
      <w:rPr>
        <w:rFonts w:ascii="Symbol" w:eastAsia="Times New Roman" w:hAnsi="Symbol"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nsid w:val="63E47872"/>
    <w:multiLevelType w:val="hybridMultilevel"/>
    <w:tmpl w:val="F38040A4"/>
    <w:lvl w:ilvl="0" w:tplc="69BE0530">
      <w:start w:val="1"/>
      <w:numFmt w:val="decimal"/>
      <w:lvlText w:val="%1."/>
      <w:lvlJc w:val="left"/>
      <w:pPr>
        <w:ind w:left="103" w:hanging="240"/>
      </w:pPr>
      <w:rPr>
        <w:rFonts w:ascii="Times New Roman" w:eastAsia="Times New Roman" w:hAnsi="Times New Roman" w:cs="Times New Roman" w:hint="default"/>
        <w:spacing w:val="-3"/>
        <w:w w:val="100"/>
        <w:sz w:val="24"/>
        <w:szCs w:val="24"/>
      </w:rPr>
    </w:lvl>
    <w:lvl w:ilvl="1" w:tplc="45A2E972">
      <w:numFmt w:val="bullet"/>
      <w:lvlText w:val="•"/>
      <w:lvlJc w:val="left"/>
      <w:pPr>
        <w:ind w:left="1030" w:hanging="240"/>
      </w:pPr>
      <w:rPr>
        <w:rFonts w:hint="default"/>
      </w:rPr>
    </w:lvl>
    <w:lvl w:ilvl="2" w:tplc="4008DB78">
      <w:numFmt w:val="bullet"/>
      <w:lvlText w:val="•"/>
      <w:lvlJc w:val="left"/>
      <w:pPr>
        <w:ind w:left="1961" w:hanging="240"/>
      </w:pPr>
      <w:rPr>
        <w:rFonts w:hint="default"/>
      </w:rPr>
    </w:lvl>
    <w:lvl w:ilvl="3" w:tplc="078007DE">
      <w:numFmt w:val="bullet"/>
      <w:lvlText w:val="•"/>
      <w:lvlJc w:val="left"/>
      <w:pPr>
        <w:ind w:left="2892" w:hanging="240"/>
      </w:pPr>
      <w:rPr>
        <w:rFonts w:hint="default"/>
      </w:rPr>
    </w:lvl>
    <w:lvl w:ilvl="4" w:tplc="2BE0A4E6">
      <w:numFmt w:val="bullet"/>
      <w:lvlText w:val="•"/>
      <w:lvlJc w:val="left"/>
      <w:pPr>
        <w:ind w:left="3822" w:hanging="240"/>
      </w:pPr>
      <w:rPr>
        <w:rFonts w:hint="default"/>
      </w:rPr>
    </w:lvl>
    <w:lvl w:ilvl="5" w:tplc="8C90F138">
      <w:numFmt w:val="bullet"/>
      <w:lvlText w:val="•"/>
      <w:lvlJc w:val="left"/>
      <w:pPr>
        <w:ind w:left="4753" w:hanging="240"/>
      </w:pPr>
      <w:rPr>
        <w:rFonts w:hint="default"/>
      </w:rPr>
    </w:lvl>
    <w:lvl w:ilvl="6" w:tplc="97983336">
      <w:numFmt w:val="bullet"/>
      <w:lvlText w:val="•"/>
      <w:lvlJc w:val="left"/>
      <w:pPr>
        <w:ind w:left="5684" w:hanging="240"/>
      </w:pPr>
      <w:rPr>
        <w:rFonts w:hint="default"/>
      </w:rPr>
    </w:lvl>
    <w:lvl w:ilvl="7" w:tplc="23D04700">
      <w:numFmt w:val="bullet"/>
      <w:lvlText w:val="•"/>
      <w:lvlJc w:val="left"/>
      <w:pPr>
        <w:ind w:left="6615" w:hanging="240"/>
      </w:pPr>
      <w:rPr>
        <w:rFonts w:hint="default"/>
      </w:rPr>
    </w:lvl>
    <w:lvl w:ilvl="8" w:tplc="5E9CDA02">
      <w:numFmt w:val="bullet"/>
      <w:lvlText w:val="•"/>
      <w:lvlJc w:val="left"/>
      <w:pPr>
        <w:ind w:left="7545" w:hanging="240"/>
      </w:pPr>
      <w:rPr>
        <w:rFonts w:hint="default"/>
      </w:rPr>
    </w:lvl>
  </w:abstractNum>
  <w:abstractNum w:abstractNumId="8">
    <w:nsid w:val="7CA236BC"/>
    <w:multiLevelType w:val="hybridMultilevel"/>
    <w:tmpl w:val="03AC1F00"/>
    <w:lvl w:ilvl="0" w:tplc="86501B94">
      <w:start w:val="4"/>
      <w:numFmt w:val="decimal"/>
      <w:lvlText w:val="%1."/>
      <w:lvlJc w:val="left"/>
      <w:pPr>
        <w:ind w:left="103" w:hanging="240"/>
      </w:pPr>
      <w:rPr>
        <w:rFonts w:ascii="Times New Roman" w:eastAsia="Times New Roman" w:hAnsi="Times New Roman" w:cs="Times New Roman" w:hint="default"/>
        <w:spacing w:val="-3"/>
        <w:w w:val="100"/>
        <w:sz w:val="24"/>
        <w:szCs w:val="24"/>
      </w:rPr>
    </w:lvl>
    <w:lvl w:ilvl="1" w:tplc="7E16A09A">
      <w:numFmt w:val="bullet"/>
      <w:lvlText w:val="•"/>
      <w:lvlJc w:val="left"/>
      <w:pPr>
        <w:ind w:left="1030" w:hanging="240"/>
      </w:pPr>
      <w:rPr>
        <w:rFonts w:hint="default"/>
      </w:rPr>
    </w:lvl>
    <w:lvl w:ilvl="2" w:tplc="AC5027B2">
      <w:numFmt w:val="bullet"/>
      <w:lvlText w:val="•"/>
      <w:lvlJc w:val="left"/>
      <w:pPr>
        <w:ind w:left="1961" w:hanging="240"/>
      </w:pPr>
      <w:rPr>
        <w:rFonts w:hint="default"/>
      </w:rPr>
    </w:lvl>
    <w:lvl w:ilvl="3" w:tplc="51988B66">
      <w:numFmt w:val="bullet"/>
      <w:lvlText w:val="•"/>
      <w:lvlJc w:val="left"/>
      <w:pPr>
        <w:ind w:left="2892" w:hanging="240"/>
      </w:pPr>
      <w:rPr>
        <w:rFonts w:hint="default"/>
      </w:rPr>
    </w:lvl>
    <w:lvl w:ilvl="4" w:tplc="69BCDA24">
      <w:numFmt w:val="bullet"/>
      <w:lvlText w:val="•"/>
      <w:lvlJc w:val="left"/>
      <w:pPr>
        <w:ind w:left="3822" w:hanging="240"/>
      </w:pPr>
      <w:rPr>
        <w:rFonts w:hint="default"/>
      </w:rPr>
    </w:lvl>
    <w:lvl w:ilvl="5" w:tplc="2702005A">
      <w:numFmt w:val="bullet"/>
      <w:lvlText w:val="•"/>
      <w:lvlJc w:val="left"/>
      <w:pPr>
        <w:ind w:left="4753" w:hanging="240"/>
      </w:pPr>
      <w:rPr>
        <w:rFonts w:hint="default"/>
      </w:rPr>
    </w:lvl>
    <w:lvl w:ilvl="6" w:tplc="D08C213E">
      <w:numFmt w:val="bullet"/>
      <w:lvlText w:val="•"/>
      <w:lvlJc w:val="left"/>
      <w:pPr>
        <w:ind w:left="5684" w:hanging="240"/>
      </w:pPr>
      <w:rPr>
        <w:rFonts w:hint="default"/>
      </w:rPr>
    </w:lvl>
    <w:lvl w:ilvl="7" w:tplc="A294AAE8">
      <w:numFmt w:val="bullet"/>
      <w:lvlText w:val="•"/>
      <w:lvlJc w:val="left"/>
      <w:pPr>
        <w:ind w:left="6615" w:hanging="240"/>
      </w:pPr>
      <w:rPr>
        <w:rFonts w:hint="default"/>
      </w:rPr>
    </w:lvl>
    <w:lvl w:ilvl="8" w:tplc="355EC100">
      <w:numFmt w:val="bullet"/>
      <w:lvlText w:val="•"/>
      <w:lvlJc w:val="left"/>
      <w:pPr>
        <w:ind w:left="7545" w:hanging="240"/>
      </w:pPr>
      <w:rPr>
        <w:rFonts w:hint="default"/>
      </w:rPr>
    </w:lvl>
  </w:abstractNum>
  <w:num w:numId="1">
    <w:abstractNumId w:val="2"/>
  </w:num>
  <w:num w:numId="2">
    <w:abstractNumId w:val="0"/>
  </w:num>
  <w:num w:numId="3">
    <w:abstractNumId w:val="7"/>
  </w:num>
  <w:num w:numId="4">
    <w:abstractNumId w:val="8"/>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E103E5"/>
    <w:rsid w:val="0001251B"/>
    <w:rsid w:val="000638A1"/>
    <w:rsid w:val="000A3E7B"/>
    <w:rsid w:val="000D4E7C"/>
    <w:rsid w:val="001001E4"/>
    <w:rsid w:val="00107DAE"/>
    <w:rsid w:val="001128AE"/>
    <w:rsid w:val="001160AD"/>
    <w:rsid w:val="001166EE"/>
    <w:rsid w:val="00120E74"/>
    <w:rsid w:val="001406F2"/>
    <w:rsid w:val="00173CC3"/>
    <w:rsid w:val="001760FA"/>
    <w:rsid w:val="00184F3B"/>
    <w:rsid w:val="001A786F"/>
    <w:rsid w:val="001B77CD"/>
    <w:rsid w:val="001D4912"/>
    <w:rsid w:val="002133F5"/>
    <w:rsid w:val="00275176"/>
    <w:rsid w:val="00275E72"/>
    <w:rsid w:val="00287FE8"/>
    <w:rsid w:val="002F2E96"/>
    <w:rsid w:val="002F56AC"/>
    <w:rsid w:val="00314A82"/>
    <w:rsid w:val="0037338E"/>
    <w:rsid w:val="003776C6"/>
    <w:rsid w:val="003B2823"/>
    <w:rsid w:val="003C4F11"/>
    <w:rsid w:val="003C517D"/>
    <w:rsid w:val="003C5DE4"/>
    <w:rsid w:val="0040577E"/>
    <w:rsid w:val="00414098"/>
    <w:rsid w:val="00417E4E"/>
    <w:rsid w:val="0044344C"/>
    <w:rsid w:val="00455383"/>
    <w:rsid w:val="00472A9B"/>
    <w:rsid w:val="00481283"/>
    <w:rsid w:val="004A34AA"/>
    <w:rsid w:val="004B57C8"/>
    <w:rsid w:val="004C1612"/>
    <w:rsid w:val="004C634E"/>
    <w:rsid w:val="004E2C47"/>
    <w:rsid w:val="00532EC1"/>
    <w:rsid w:val="005956AC"/>
    <w:rsid w:val="005B750C"/>
    <w:rsid w:val="005F02AA"/>
    <w:rsid w:val="0061398D"/>
    <w:rsid w:val="00681AE6"/>
    <w:rsid w:val="006841DF"/>
    <w:rsid w:val="00686ED8"/>
    <w:rsid w:val="006C5405"/>
    <w:rsid w:val="00736F77"/>
    <w:rsid w:val="007A183A"/>
    <w:rsid w:val="007D2CC2"/>
    <w:rsid w:val="007E6327"/>
    <w:rsid w:val="007F50D0"/>
    <w:rsid w:val="00810AA3"/>
    <w:rsid w:val="0083424E"/>
    <w:rsid w:val="00843DA9"/>
    <w:rsid w:val="008508C3"/>
    <w:rsid w:val="00856917"/>
    <w:rsid w:val="0085743A"/>
    <w:rsid w:val="0086266B"/>
    <w:rsid w:val="00865906"/>
    <w:rsid w:val="008758AB"/>
    <w:rsid w:val="00876EC2"/>
    <w:rsid w:val="008C5246"/>
    <w:rsid w:val="008E5B3A"/>
    <w:rsid w:val="008E742B"/>
    <w:rsid w:val="008F4180"/>
    <w:rsid w:val="008F676E"/>
    <w:rsid w:val="00905FE0"/>
    <w:rsid w:val="009202B0"/>
    <w:rsid w:val="00934E54"/>
    <w:rsid w:val="00944D0D"/>
    <w:rsid w:val="00956508"/>
    <w:rsid w:val="00956EEE"/>
    <w:rsid w:val="00971529"/>
    <w:rsid w:val="009A0EB9"/>
    <w:rsid w:val="009D1E52"/>
    <w:rsid w:val="009D54AF"/>
    <w:rsid w:val="009D7807"/>
    <w:rsid w:val="009F1CA8"/>
    <w:rsid w:val="00A001B7"/>
    <w:rsid w:val="00A13AAD"/>
    <w:rsid w:val="00A25E8B"/>
    <w:rsid w:val="00A364F2"/>
    <w:rsid w:val="00A4142F"/>
    <w:rsid w:val="00A54285"/>
    <w:rsid w:val="00A7384B"/>
    <w:rsid w:val="00A805B7"/>
    <w:rsid w:val="00AF3857"/>
    <w:rsid w:val="00AF6D6D"/>
    <w:rsid w:val="00B57EE6"/>
    <w:rsid w:val="00B77101"/>
    <w:rsid w:val="00BA76C4"/>
    <w:rsid w:val="00BD1DD8"/>
    <w:rsid w:val="00C003D7"/>
    <w:rsid w:val="00C00CF6"/>
    <w:rsid w:val="00C50C8F"/>
    <w:rsid w:val="00C565C5"/>
    <w:rsid w:val="00C66DC9"/>
    <w:rsid w:val="00CB7FB4"/>
    <w:rsid w:val="00CE5C0E"/>
    <w:rsid w:val="00CF19B6"/>
    <w:rsid w:val="00D04F27"/>
    <w:rsid w:val="00D130F1"/>
    <w:rsid w:val="00D61465"/>
    <w:rsid w:val="00D848BE"/>
    <w:rsid w:val="00DA636D"/>
    <w:rsid w:val="00DD01E4"/>
    <w:rsid w:val="00DE3CF1"/>
    <w:rsid w:val="00DF227B"/>
    <w:rsid w:val="00DF23BA"/>
    <w:rsid w:val="00DF2507"/>
    <w:rsid w:val="00E103E5"/>
    <w:rsid w:val="00E560BB"/>
    <w:rsid w:val="00EC24DA"/>
    <w:rsid w:val="00EF6A66"/>
    <w:rsid w:val="00F009B5"/>
    <w:rsid w:val="00F0297B"/>
    <w:rsid w:val="00F35912"/>
    <w:rsid w:val="00F36013"/>
    <w:rsid w:val="00F507A1"/>
    <w:rsid w:val="00F57719"/>
    <w:rsid w:val="00FB1D1F"/>
    <w:rsid w:val="00FF003C"/>
    <w:rsid w:val="00FF09CA"/>
    <w:rsid w:val="00FF4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7EE6"/>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02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7EE6"/>
    <w:pPr>
      <w:spacing w:before="1"/>
    </w:pPr>
    <w:rPr>
      <w:sz w:val="24"/>
      <w:szCs w:val="24"/>
    </w:rPr>
  </w:style>
  <w:style w:type="paragraph" w:styleId="ListParagraph">
    <w:name w:val="List Paragraph"/>
    <w:basedOn w:val="Normal"/>
    <w:uiPriority w:val="1"/>
    <w:qFormat/>
    <w:rsid w:val="00B57EE6"/>
  </w:style>
  <w:style w:type="paragraph" w:customStyle="1" w:styleId="TableParagraph">
    <w:name w:val="Table Paragraph"/>
    <w:basedOn w:val="Normal"/>
    <w:uiPriority w:val="1"/>
    <w:qFormat/>
    <w:rsid w:val="00B57EE6"/>
    <w:pPr>
      <w:ind w:left="103"/>
    </w:pPr>
  </w:style>
  <w:style w:type="paragraph" w:styleId="FootnoteText">
    <w:name w:val="footnote text"/>
    <w:basedOn w:val="Normal"/>
    <w:link w:val="FootnoteTextChar"/>
    <w:uiPriority w:val="99"/>
    <w:semiHidden/>
    <w:unhideWhenUsed/>
    <w:rsid w:val="001A786F"/>
    <w:rPr>
      <w:sz w:val="20"/>
      <w:szCs w:val="20"/>
    </w:rPr>
  </w:style>
  <w:style w:type="character" w:customStyle="1" w:styleId="FootnoteTextChar">
    <w:name w:val="Footnote Text Char"/>
    <w:basedOn w:val="DefaultParagraphFont"/>
    <w:link w:val="FootnoteText"/>
    <w:uiPriority w:val="99"/>
    <w:semiHidden/>
    <w:rsid w:val="001A78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786F"/>
    <w:rPr>
      <w:vertAlign w:val="superscript"/>
    </w:rPr>
  </w:style>
  <w:style w:type="character" w:customStyle="1" w:styleId="Heading2Char">
    <w:name w:val="Heading 2 Char"/>
    <w:basedOn w:val="DefaultParagraphFont"/>
    <w:link w:val="Heading2"/>
    <w:uiPriority w:val="9"/>
    <w:rsid w:val="00F0297B"/>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uiPriority w:val="1"/>
    <w:rsid w:val="00F0297B"/>
    <w:rPr>
      <w:rFonts w:ascii="Times New Roman" w:eastAsia="Times New Roman" w:hAnsi="Times New Roman" w:cs="Times New Roman"/>
      <w:sz w:val="24"/>
      <w:szCs w:val="24"/>
    </w:rPr>
  </w:style>
  <w:style w:type="table" w:styleId="TableGrid">
    <w:name w:val="Table Grid"/>
    <w:basedOn w:val="TableNormal"/>
    <w:uiPriority w:val="59"/>
    <w:rsid w:val="00F02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9CA"/>
    <w:rPr>
      <w:rFonts w:ascii="Tahoma" w:hAnsi="Tahoma" w:cs="Tahoma"/>
      <w:sz w:val="16"/>
      <w:szCs w:val="16"/>
    </w:rPr>
  </w:style>
  <w:style w:type="character" w:customStyle="1" w:styleId="BalloonTextChar">
    <w:name w:val="Balloon Text Char"/>
    <w:basedOn w:val="DefaultParagraphFont"/>
    <w:link w:val="BalloonText"/>
    <w:uiPriority w:val="99"/>
    <w:semiHidden/>
    <w:rsid w:val="00FF09CA"/>
    <w:rPr>
      <w:rFonts w:ascii="Tahoma" w:eastAsia="Times New Roman" w:hAnsi="Tahoma" w:cs="Tahoma"/>
      <w:sz w:val="16"/>
      <w:szCs w:val="16"/>
    </w:rPr>
  </w:style>
  <w:style w:type="character" w:styleId="Hyperlink">
    <w:name w:val="Hyperlink"/>
    <w:basedOn w:val="DefaultParagraphFont"/>
    <w:uiPriority w:val="99"/>
    <w:unhideWhenUsed/>
    <w:rsid w:val="004E2C47"/>
    <w:rPr>
      <w:color w:val="0000FF" w:themeColor="hyperlink"/>
      <w:u w:val="single"/>
    </w:rPr>
  </w:style>
  <w:style w:type="paragraph" w:styleId="Header">
    <w:name w:val="header"/>
    <w:basedOn w:val="Normal"/>
    <w:link w:val="HeaderChar"/>
    <w:uiPriority w:val="99"/>
    <w:unhideWhenUsed/>
    <w:rsid w:val="00A54285"/>
    <w:pPr>
      <w:tabs>
        <w:tab w:val="center" w:pos="4680"/>
        <w:tab w:val="right" w:pos="9360"/>
      </w:tabs>
    </w:pPr>
  </w:style>
  <w:style w:type="character" w:customStyle="1" w:styleId="HeaderChar">
    <w:name w:val="Header Char"/>
    <w:basedOn w:val="DefaultParagraphFont"/>
    <w:link w:val="Header"/>
    <w:uiPriority w:val="99"/>
    <w:rsid w:val="00A54285"/>
    <w:rPr>
      <w:rFonts w:ascii="Times New Roman" w:eastAsia="Times New Roman" w:hAnsi="Times New Roman" w:cs="Times New Roman"/>
    </w:rPr>
  </w:style>
  <w:style w:type="paragraph" w:styleId="Footer">
    <w:name w:val="footer"/>
    <w:basedOn w:val="Normal"/>
    <w:link w:val="FooterChar"/>
    <w:uiPriority w:val="99"/>
    <w:unhideWhenUsed/>
    <w:rsid w:val="00A54285"/>
    <w:pPr>
      <w:tabs>
        <w:tab w:val="center" w:pos="4680"/>
        <w:tab w:val="right" w:pos="9360"/>
      </w:tabs>
    </w:pPr>
  </w:style>
  <w:style w:type="character" w:customStyle="1" w:styleId="FooterChar">
    <w:name w:val="Footer Char"/>
    <w:basedOn w:val="DefaultParagraphFont"/>
    <w:link w:val="Footer"/>
    <w:uiPriority w:val="99"/>
    <w:rsid w:val="00A5428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54285"/>
    <w:rPr>
      <w:color w:val="800080" w:themeColor="followedHyperlink"/>
      <w:u w:val="single"/>
    </w:rPr>
  </w:style>
  <w:style w:type="character" w:styleId="PlaceholderText">
    <w:name w:val="Placeholder Text"/>
    <w:basedOn w:val="DefaultParagraphFont"/>
    <w:uiPriority w:val="99"/>
    <w:semiHidden/>
    <w:rsid w:val="008F676E"/>
    <w:rPr>
      <w:color w:val="808080"/>
    </w:rPr>
  </w:style>
  <w:style w:type="character" w:styleId="CommentReference">
    <w:name w:val="annotation reference"/>
    <w:basedOn w:val="DefaultParagraphFont"/>
    <w:uiPriority w:val="99"/>
    <w:semiHidden/>
    <w:unhideWhenUsed/>
    <w:rsid w:val="00686ED8"/>
    <w:rPr>
      <w:sz w:val="16"/>
      <w:szCs w:val="16"/>
    </w:rPr>
  </w:style>
  <w:style w:type="paragraph" w:styleId="CommentText">
    <w:name w:val="annotation text"/>
    <w:basedOn w:val="Normal"/>
    <w:link w:val="CommentTextChar"/>
    <w:uiPriority w:val="99"/>
    <w:semiHidden/>
    <w:unhideWhenUsed/>
    <w:rsid w:val="00686ED8"/>
    <w:rPr>
      <w:sz w:val="20"/>
      <w:szCs w:val="20"/>
    </w:rPr>
  </w:style>
  <w:style w:type="character" w:customStyle="1" w:styleId="CommentTextChar">
    <w:name w:val="Comment Text Char"/>
    <w:basedOn w:val="DefaultParagraphFont"/>
    <w:link w:val="CommentText"/>
    <w:uiPriority w:val="99"/>
    <w:semiHidden/>
    <w:rsid w:val="00686E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ED8"/>
    <w:rPr>
      <w:b/>
      <w:bCs/>
    </w:rPr>
  </w:style>
  <w:style w:type="character" w:customStyle="1" w:styleId="CommentSubjectChar">
    <w:name w:val="Comment Subject Char"/>
    <w:basedOn w:val="CommentTextChar"/>
    <w:link w:val="CommentSubject"/>
    <w:uiPriority w:val="99"/>
    <w:semiHidden/>
    <w:rsid w:val="00686ED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02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FootnoteText">
    <w:name w:val="footnote text"/>
    <w:basedOn w:val="Normal"/>
    <w:link w:val="FootnoteTextChar"/>
    <w:uiPriority w:val="99"/>
    <w:semiHidden/>
    <w:unhideWhenUsed/>
    <w:rsid w:val="001A786F"/>
    <w:rPr>
      <w:sz w:val="20"/>
      <w:szCs w:val="20"/>
    </w:rPr>
  </w:style>
  <w:style w:type="character" w:customStyle="1" w:styleId="FootnoteTextChar">
    <w:name w:val="Footnote Text Char"/>
    <w:basedOn w:val="DefaultParagraphFont"/>
    <w:link w:val="FootnoteText"/>
    <w:uiPriority w:val="99"/>
    <w:semiHidden/>
    <w:rsid w:val="001A78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786F"/>
    <w:rPr>
      <w:vertAlign w:val="superscript"/>
    </w:rPr>
  </w:style>
  <w:style w:type="character" w:customStyle="1" w:styleId="Heading2Char">
    <w:name w:val="Heading 2 Char"/>
    <w:basedOn w:val="DefaultParagraphFont"/>
    <w:link w:val="Heading2"/>
    <w:uiPriority w:val="9"/>
    <w:rsid w:val="00F0297B"/>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uiPriority w:val="1"/>
    <w:rsid w:val="00F0297B"/>
    <w:rPr>
      <w:rFonts w:ascii="Times New Roman" w:eastAsia="Times New Roman" w:hAnsi="Times New Roman" w:cs="Times New Roman"/>
      <w:sz w:val="24"/>
      <w:szCs w:val="24"/>
    </w:rPr>
  </w:style>
  <w:style w:type="table" w:styleId="TableGrid">
    <w:name w:val="Table Grid"/>
    <w:basedOn w:val="TableNormal"/>
    <w:uiPriority w:val="59"/>
    <w:rsid w:val="00F0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9CA"/>
    <w:rPr>
      <w:rFonts w:ascii="Tahoma" w:hAnsi="Tahoma" w:cs="Tahoma"/>
      <w:sz w:val="16"/>
      <w:szCs w:val="16"/>
    </w:rPr>
  </w:style>
  <w:style w:type="character" w:customStyle="1" w:styleId="BalloonTextChar">
    <w:name w:val="Balloon Text Char"/>
    <w:basedOn w:val="DefaultParagraphFont"/>
    <w:link w:val="BalloonText"/>
    <w:uiPriority w:val="99"/>
    <w:semiHidden/>
    <w:rsid w:val="00FF09CA"/>
    <w:rPr>
      <w:rFonts w:ascii="Tahoma" w:eastAsia="Times New Roman" w:hAnsi="Tahoma" w:cs="Tahoma"/>
      <w:sz w:val="16"/>
      <w:szCs w:val="16"/>
    </w:rPr>
  </w:style>
  <w:style w:type="character" w:styleId="Hyperlink">
    <w:name w:val="Hyperlink"/>
    <w:basedOn w:val="DefaultParagraphFont"/>
    <w:uiPriority w:val="99"/>
    <w:unhideWhenUsed/>
    <w:rsid w:val="004E2C47"/>
    <w:rPr>
      <w:color w:val="0000FF" w:themeColor="hyperlink"/>
      <w:u w:val="single"/>
    </w:rPr>
  </w:style>
  <w:style w:type="paragraph" w:styleId="Header">
    <w:name w:val="header"/>
    <w:basedOn w:val="Normal"/>
    <w:link w:val="HeaderChar"/>
    <w:uiPriority w:val="99"/>
    <w:unhideWhenUsed/>
    <w:rsid w:val="00A54285"/>
    <w:pPr>
      <w:tabs>
        <w:tab w:val="center" w:pos="4680"/>
        <w:tab w:val="right" w:pos="9360"/>
      </w:tabs>
    </w:pPr>
  </w:style>
  <w:style w:type="character" w:customStyle="1" w:styleId="HeaderChar">
    <w:name w:val="Header Char"/>
    <w:basedOn w:val="DefaultParagraphFont"/>
    <w:link w:val="Header"/>
    <w:uiPriority w:val="99"/>
    <w:rsid w:val="00A54285"/>
    <w:rPr>
      <w:rFonts w:ascii="Times New Roman" w:eastAsia="Times New Roman" w:hAnsi="Times New Roman" w:cs="Times New Roman"/>
    </w:rPr>
  </w:style>
  <w:style w:type="paragraph" w:styleId="Footer">
    <w:name w:val="footer"/>
    <w:basedOn w:val="Normal"/>
    <w:link w:val="FooterChar"/>
    <w:uiPriority w:val="99"/>
    <w:unhideWhenUsed/>
    <w:rsid w:val="00A54285"/>
    <w:pPr>
      <w:tabs>
        <w:tab w:val="center" w:pos="4680"/>
        <w:tab w:val="right" w:pos="9360"/>
      </w:tabs>
    </w:pPr>
  </w:style>
  <w:style w:type="character" w:customStyle="1" w:styleId="FooterChar">
    <w:name w:val="Footer Char"/>
    <w:basedOn w:val="DefaultParagraphFont"/>
    <w:link w:val="Footer"/>
    <w:uiPriority w:val="99"/>
    <w:rsid w:val="00A5428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54285"/>
    <w:rPr>
      <w:color w:val="800080" w:themeColor="followedHyperlink"/>
      <w:u w:val="single"/>
    </w:rPr>
  </w:style>
  <w:style w:type="character" w:styleId="PlaceholderText">
    <w:name w:val="Placeholder Text"/>
    <w:basedOn w:val="DefaultParagraphFont"/>
    <w:uiPriority w:val="99"/>
    <w:semiHidden/>
    <w:rsid w:val="008F676E"/>
    <w:rPr>
      <w:color w:val="808080"/>
    </w:rPr>
  </w:style>
  <w:style w:type="character" w:styleId="CommentReference">
    <w:name w:val="annotation reference"/>
    <w:basedOn w:val="DefaultParagraphFont"/>
    <w:uiPriority w:val="99"/>
    <w:semiHidden/>
    <w:unhideWhenUsed/>
    <w:rsid w:val="00686ED8"/>
    <w:rPr>
      <w:sz w:val="16"/>
      <w:szCs w:val="16"/>
    </w:rPr>
  </w:style>
  <w:style w:type="paragraph" w:styleId="CommentText">
    <w:name w:val="annotation text"/>
    <w:basedOn w:val="Normal"/>
    <w:link w:val="CommentTextChar"/>
    <w:uiPriority w:val="99"/>
    <w:semiHidden/>
    <w:unhideWhenUsed/>
    <w:rsid w:val="00686ED8"/>
    <w:rPr>
      <w:sz w:val="20"/>
      <w:szCs w:val="20"/>
    </w:rPr>
  </w:style>
  <w:style w:type="character" w:customStyle="1" w:styleId="CommentTextChar">
    <w:name w:val="Comment Text Char"/>
    <w:basedOn w:val="DefaultParagraphFont"/>
    <w:link w:val="CommentText"/>
    <w:uiPriority w:val="99"/>
    <w:semiHidden/>
    <w:rsid w:val="00686E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ED8"/>
    <w:rPr>
      <w:b/>
      <w:bCs/>
    </w:rPr>
  </w:style>
  <w:style w:type="character" w:customStyle="1" w:styleId="CommentSubjectChar">
    <w:name w:val="Comment Subject Char"/>
    <w:basedOn w:val="CommentTextChar"/>
    <w:link w:val="CommentSubject"/>
    <w:uiPriority w:val="99"/>
    <w:semiHidden/>
    <w:rsid w:val="00686ED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57460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hud.gov/hudportal/HUD?src=/program_offices/spm/gmomgmt/grantsinfo/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3195CC-16F0-4BE1-9B34-0F6C1A56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FY 2017 Continuum of Care (CoC) Program Competition NOFA: What's New, Changes, and Highlights</vt:lpstr>
    </vt:vector>
  </TitlesOfParts>
  <Company>PLNU</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2017 Continuum of Care (CoC) Program Competition NOFA: What's New, Changes, and Highlights</dc:title>
  <dc:creator>HUD</dc:creator>
  <cp:lastModifiedBy>Holly</cp:lastModifiedBy>
  <cp:revision>2</cp:revision>
  <cp:lastPrinted>2017-07-20T19:50:00Z</cp:lastPrinted>
  <dcterms:created xsi:type="dcterms:W3CDTF">2017-07-21T14:53:00Z</dcterms:created>
  <dcterms:modified xsi:type="dcterms:W3CDTF">2017-07-21T14:53:00Z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Microsoft Word - FY 2017 Continuum of Care_Changes Document</vt:lpwstr>
  </property>
  <property fmtid="{D5CDD505-2E9C-101B-9397-08002B2CF9AE}" pid="4" name="LastSaved">
    <vt:filetime>2017-07-15T00:00:00Z</vt:filetime>
  </property>
</Properties>
</file>