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A81" w:rsidRDefault="007F1292">
      <w:pPr>
        <w:spacing w:after="71" w:line="259" w:lineRule="auto"/>
        <w:ind w:left="4313" w:firstLine="0"/>
      </w:pPr>
      <w:r>
        <w:rPr>
          <w:noProof/>
        </w:rPr>
        <w:drawing>
          <wp:inline distT="0" distB="0" distL="0" distR="0">
            <wp:extent cx="1560432" cy="877570"/>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7"/>
                    <a:stretch>
                      <a:fillRect/>
                    </a:stretch>
                  </pic:blipFill>
                  <pic:spPr>
                    <a:xfrm>
                      <a:off x="0" y="0"/>
                      <a:ext cx="1560432" cy="877570"/>
                    </a:xfrm>
                    <a:prstGeom prst="rect">
                      <a:avLst/>
                    </a:prstGeom>
                  </pic:spPr>
                </pic:pic>
              </a:graphicData>
            </a:graphic>
          </wp:inline>
        </w:drawing>
      </w:r>
    </w:p>
    <w:p w:rsidR="009117FF" w:rsidRPr="009117FF" w:rsidRDefault="009117FF" w:rsidP="009117FF">
      <w:pPr>
        <w:shd w:val="clear" w:color="auto" w:fill="0070C0"/>
        <w:spacing w:after="5"/>
        <w:ind w:left="135"/>
        <w:jc w:val="center"/>
        <w:rPr>
          <w:b/>
          <w:color w:val="FFFFFF" w:themeColor="background1"/>
        </w:rPr>
      </w:pPr>
      <w:r w:rsidRPr="009117FF">
        <w:rPr>
          <w:b/>
          <w:color w:val="FFFFFF" w:themeColor="background1"/>
        </w:rPr>
        <w:t>YHDP Round 8 RFP</w:t>
      </w:r>
    </w:p>
    <w:p w:rsidR="009117FF" w:rsidRPr="009117FF" w:rsidRDefault="009117FF" w:rsidP="009117FF">
      <w:pPr>
        <w:shd w:val="clear" w:color="auto" w:fill="0070C0"/>
        <w:spacing w:after="5"/>
        <w:ind w:left="135"/>
        <w:jc w:val="center"/>
        <w:rPr>
          <w:b/>
          <w:color w:val="FFFFFF" w:themeColor="background1"/>
        </w:rPr>
      </w:pPr>
      <w:r w:rsidRPr="009117FF">
        <w:rPr>
          <w:b/>
          <w:color w:val="FFFFFF" w:themeColor="background1"/>
        </w:rPr>
        <w:t>Frequently Asked Questions (FAQ)</w:t>
      </w:r>
    </w:p>
    <w:p w:rsidR="009117FF" w:rsidRDefault="009117FF" w:rsidP="009117FF">
      <w:pPr>
        <w:spacing w:after="5"/>
        <w:ind w:left="0" w:firstLine="0"/>
        <w:rPr>
          <w:b/>
        </w:rPr>
      </w:pPr>
    </w:p>
    <w:p w:rsidR="00F17A81" w:rsidRDefault="007F1292">
      <w:pPr>
        <w:spacing w:after="5"/>
        <w:ind w:left="135"/>
      </w:pPr>
      <w:r>
        <w:rPr>
          <w:b/>
        </w:rPr>
        <w:t xml:space="preserve">Q: Can RTFH accept a collaborative application that includes multiple service providers? </w:t>
      </w:r>
    </w:p>
    <w:p w:rsidR="00F17A81" w:rsidRDefault="007F1292">
      <w:pPr>
        <w:spacing w:after="150"/>
      </w:pPr>
      <w:r>
        <w:rPr>
          <w:b/>
        </w:rPr>
        <w:t xml:space="preserve">A: </w:t>
      </w:r>
      <w:r>
        <w:t xml:space="preserve">We require a single organization to contract with, consistent with all HUD-funded programs. That organization may certainly identify and work with partner organizations, and we encourage collaboration and leveraging of other resources. However, one entity must be solely responsible for both the fiscal and programmatic compliance of the project. </w:t>
      </w:r>
    </w:p>
    <w:p w:rsidR="00F17A81" w:rsidRDefault="007F1292">
      <w:pPr>
        <w:spacing w:after="0" w:line="259" w:lineRule="auto"/>
        <w:ind w:left="140" w:firstLine="0"/>
      </w:pPr>
      <w:r>
        <w:rPr>
          <w:b/>
          <w:color w:val="001D35"/>
        </w:rPr>
        <w:t>Q: How do you spend a 2-year budget over an initial 30-month CoC grant period?</w:t>
      </w:r>
      <w:r>
        <w:rPr>
          <w:b/>
        </w:rPr>
        <w:t xml:space="preserve"> </w:t>
      </w:r>
    </w:p>
    <w:p w:rsidR="00F17A81" w:rsidRDefault="007F1292">
      <w:pPr>
        <w:spacing w:after="178" w:line="240" w:lineRule="auto"/>
        <w:ind w:left="139" w:firstLine="0"/>
      </w:pPr>
      <w:r>
        <w:rPr>
          <w:b/>
          <w:sz w:val="22"/>
        </w:rPr>
        <w:t xml:space="preserve">A: </w:t>
      </w:r>
      <w:r>
        <w:rPr>
          <w:sz w:val="22"/>
        </w:rPr>
        <w:t xml:space="preserve">Although the grant period is 30 months, RTFH will contract with providers for 24 months, as determined by the budget in the RFP. This means providers should plan and manage expenditures so the 2-year budget is fully spent within the 24-month contracted service period. The additional six months in the HUD grant period are intended to allow for start-up, closeout, and administrative tasks—not to extend service delivery or add new costs beyond the contracted budget </w:t>
      </w:r>
    </w:p>
    <w:p w:rsidR="00F17A81" w:rsidRDefault="007F1292">
      <w:pPr>
        <w:spacing w:after="5"/>
        <w:ind w:left="135" w:right="2828"/>
      </w:pPr>
      <w:r>
        <w:rPr>
          <w:b/>
        </w:rPr>
        <w:t xml:space="preserve">Q: What are the performance periods for the YHDP Round 8 Demonstration? A: </w:t>
      </w:r>
      <w:r>
        <w:t xml:space="preserve">The performance period (30 months total) is as follows: </w:t>
      </w:r>
    </w:p>
    <w:p w:rsidR="00F17A81" w:rsidRDefault="007F1292">
      <w:pPr>
        <w:spacing w:after="0" w:line="259" w:lineRule="auto"/>
        <w:ind w:left="0" w:firstLine="0"/>
      </w:pPr>
      <w:r>
        <w:rPr>
          <w:sz w:val="22"/>
        </w:rPr>
        <w:t xml:space="preserve"> </w:t>
      </w:r>
    </w:p>
    <w:p w:rsidR="00F17A81" w:rsidRDefault="007F1292">
      <w:pPr>
        <w:numPr>
          <w:ilvl w:val="0"/>
          <w:numId w:val="1"/>
        </w:numPr>
        <w:ind w:hanging="360"/>
      </w:pPr>
      <w:r>
        <w:rPr>
          <w:b/>
        </w:rPr>
        <w:t xml:space="preserve">Grant Period (18 months): </w:t>
      </w:r>
      <w:r>
        <w:t>October 1, 2025 – March 31, 2028</w:t>
      </w:r>
      <w:r>
        <w:rPr>
          <w:rFonts w:ascii="Segoe UI Symbol" w:eastAsia="Segoe UI Symbol" w:hAnsi="Segoe UI Symbol" w:cs="Segoe UI Symbol"/>
          <w:sz w:val="20"/>
        </w:rPr>
        <w:t xml:space="preserve"> </w:t>
      </w:r>
    </w:p>
    <w:p w:rsidR="00F17A81" w:rsidRDefault="007F1292">
      <w:pPr>
        <w:spacing w:after="0" w:line="259" w:lineRule="auto"/>
        <w:ind w:left="0" w:firstLine="0"/>
      </w:pPr>
      <w:r>
        <w:rPr>
          <w:sz w:val="23"/>
        </w:rPr>
        <w:t xml:space="preserve"> </w:t>
      </w:r>
    </w:p>
    <w:p w:rsidR="00F17A81" w:rsidRDefault="007F1292">
      <w:pPr>
        <w:ind w:left="149"/>
      </w:pPr>
      <w:r>
        <w:t xml:space="preserve">Awarded subrecipients will be expected to sign and return contracts by November 15, 2025, at the latest. </w:t>
      </w:r>
    </w:p>
    <w:p w:rsidR="00F17A81" w:rsidRDefault="007F1292">
      <w:pPr>
        <w:spacing w:after="0" w:line="259" w:lineRule="auto"/>
        <w:ind w:left="0" w:firstLine="0"/>
      </w:pPr>
      <w:r>
        <w:rPr>
          <w:sz w:val="22"/>
        </w:rPr>
        <w:t xml:space="preserve"> </w:t>
      </w:r>
    </w:p>
    <w:p w:rsidR="00F17A81" w:rsidRDefault="007F1292">
      <w:pPr>
        <w:spacing w:after="5"/>
        <w:ind w:left="135"/>
      </w:pPr>
      <w:r>
        <w:rPr>
          <w:b/>
        </w:rPr>
        <w:t xml:space="preserve">Q: What are the eligible costs under YHDP Round 8? </w:t>
      </w:r>
    </w:p>
    <w:p w:rsidR="00F17A81" w:rsidRDefault="007F1292">
      <w:pPr>
        <w:spacing w:after="150"/>
      </w:pPr>
      <w:r>
        <w:rPr>
          <w:b/>
        </w:rPr>
        <w:t xml:space="preserve">A: </w:t>
      </w:r>
      <w:r>
        <w:t xml:space="preserve">CoC funded projects must comply with federal regulations under the </w:t>
      </w:r>
      <w:hyperlink r:id="rId8">
        <w:r>
          <w:rPr>
            <w:color w:val="0562C1"/>
            <w:u w:val="single" w:color="0562C1"/>
          </w:rPr>
          <w:t>Continuum of Care Interim Rule (24</w:t>
        </w:r>
      </w:hyperlink>
      <w:hyperlink r:id="rId9">
        <w:r>
          <w:rPr>
            <w:color w:val="0562C1"/>
          </w:rPr>
          <w:t xml:space="preserve"> </w:t>
        </w:r>
      </w:hyperlink>
      <w:hyperlink r:id="rId10">
        <w:r>
          <w:rPr>
            <w:color w:val="0562C1"/>
            <w:u w:val="single" w:color="0562C1"/>
          </w:rPr>
          <w:t>CFR part 578)</w:t>
        </w:r>
      </w:hyperlink>
      <w:hyperlink r:id="rId11">
        <w:r>
          <w:rPr>
            <w:color w:val="0562C1"/>
          </w:rPr>
          <w:t xml:space="preserve"> </w:t>
        </w:r>
      </w:hyperlink>
      <w:hyperlink r:id="rId12">
        <w:r>
          <w:t>e</w:t>
        </w:r>
      </w:hyperlink>
      <w:r>
        <w:t xml:space="preserve">xcept as otherwise provided in the FY 23 YHDP NOFO, including I.A., and </w:t>
      </w:r>
      <w:hyperlink r:id="rId13">
        <w:r>
          <w:rPr>
            <w:color w:val="0562C1"/>
            <w:u w:val="single" w:color="0562C1"/>
          </w:rPr>
          <w:t>Appendix A</w:t>
        </w:r>
      </w:hyperlink>
      <w:hyperlink r:id="rId14">
        <w:r>
          <w:t>.</w:t>
        </w:r>
      </w:hyperlink>
      <w:r>
        <w:t xml:space="preserve"> At the time of release of the YHDP Round 8 RFP, all YHDP special activities have been conditionally approved. RTFH is still awaiting official approval from HUD. Awarded applicants will be notified once YHDP Rounds 8 Activities have officially been approved. </w:t>
      </w:r>
    </w:p>
    <w:p w:rsidR="00F17A81" w:rsidRDefault="007F1292">
      <w:pPr>
        <w:spacing w:after="15" w:line="259" w:lineRule="auto"/>
        <w:ind w:left="140" w:firstLine="0"/>
      </w:pPr>
      <w:r>
        <w:rPr>
          <w:i/>
        </w:rPr>
        <w:t xml:space="preserve">The following are eligible costs under the YHDP Round 8 RFP </w:t>
      </w:r>
    </w:p>
    <w:p w:rsidR="00F17A81" w:rsidRDefault="007F1292">
      <w:pPr>
        <w:numPr>
          <w:ilvl w:val="0"/>
          <w:numId w:val="1"/>
        </w:numPr>
        <w:ind w:hanging="360"/>
      </w:pPr>
      <w:r>
        <w:t xml:space="preserve">Leased Units </w:t>
      </w:r>
      <w:r>
        <w:rPr>
          <w:color w:val="1152CC"/>
        </w:rPr>
        <w:t>24 CFR 578.49</w:t>
      </w:r>
      <w:r>
        <w:rPr>
          <w:rFonts w:ascii="Segoe UI Symbol" w:eastAsia="Segoe UI Symbol" w:hAnsi="Segoe UI Symbol" w:cs="Segoe UI Symbol"/>
        </w:rPr>
        <w:t xml:space="preserve"> </w:t>
      </w:r>
    </w:p>
    <w:p w:rsidR="00F17A81" w:rsidRDefault="007F1292">
      <w:pPr>
        <w:numPr>
          <w:ilvl w:val="0"/>
          <w:numId w:val="1"/>
        </w:numPr>
        <w:ind w:hanging="360"/>
      </w:pPr>
      <w:r>
        <w:t xml:space="preserve">Leased Structures </w:t>
      </w:r>
      <w:r>
        <w:rPr>
          <w:color w:val="1152CC"/>
        </w:rPr>
        <w:t>24 CFR 578.49</w:t>
      </w:r>
      <w:r>
        <w:rPr>
          <w:rFonts w:ascii="Segoe UI Symbol" w:eastAsia="Segoe UI Symbol" w:hAnsi="Segoe UI Symbol" w:cs="Segoe UI Symbol"/>
        </w:rPr>
        <w:t xml:space="preserve"> </w:t>
      </w:r>
    </w:p>
    <w:p w:rsidR="00F17A81" w:rsidRDefault="007F1292">
      <w:pPr>
        <w:numPr>
          <w:ilvl w:val="0"/>
          <w:numId w:val="1"/>
        </w:numPr>
        <w:ind w:hanging="360"/>
      </w:pPr>
      <w:r>
        <w:t xml:space="preserve">Rental Assistance </w:t>
      </w:r>
      <w:r>
        <w:rPr>
          <w:color w:val="1152CC"/>
        </w:rPr>
        <w:t>24 CFR 578.51</w:t>
      </w:r>
      <w:r>
        <w:rPr>
          <w:rFonts w:ascii="Segoe UI Symbol" w:eastAsia="Segoe UI Symbol" w:hAnsi="Segoe UI Symbol" w:cs="Segoe UI Symbol"/>
        </w:rPr>
        <w:t xml:space="preserve"> </w:t>
      </w:r>
    </w:p>
    <w:p w:rsidR="00F17A81" w:rsidRDefault="007F1292">
      <w:pPr>
        <w:numPr>
          <w:ilvl w:val="0"/>
          <w:numId w:val="1"/>
        </w:numPr>
        <w:ind w:hanging="360"/>
      </w:pPr>
      <w:r>
        <w:t xml:space="preserve">Supportive services </w:t>
      </w:r>
      <w:r>
        <w:rPr>
          <w:color w:val="1152CC"/>
        </w:rPr>
        <w:t>24 CFR 578.53</w:t>
      </w:r>
      <w:r>
        <w:rPr>
          <w:rFonts w:ascii="Segoe UI Symbol" w:eastAsia="Segoe UI Symbol" w:hAnsi="Segoe UI Symbol" w:cs="Segoe UI Symbol"/>
        </w:rPr>
        <w:t xml:space="preserve"> </w:t>
      </w:r>
    </w:p>
    <w:p w:rsidR="00F17A81" w:rsidRDefault="007F1292">
      <w:pPr>
        <w:numPr>
          <w:ilvl w:val="0"/>
          <w:numId w:val="1"/>
        </w:numPr>
        <w:spacing w:after="0" w:line="259" w:lineRule="auto"/>
        <w:ind w:hanging="360"/>
      </w:pPr>
      <w:r>
        <w:t xml:space="preserve">Operating </w:t>
      </w:r>
      <w:r>
        <w:rPr>
          <w:color w:val="1152CC"/>
        </w:rPr>
        <w:t>24 CFR 578.55</w:t>
      </w:r>
      <w:r>
        <w:rPr>
          <w:rFonts w:ascii="Segoe UI Symbol" w:eastAsia="Segoe UI Symbol" w:hAnsi="Segoe UI Symbol" w:cs="Segoe UI Symbol"/>
        </w:rPr>
        <w:t xml:space="preserve"> </w:t>
      </w:r>
    </w:p>
    <w:p w:rsidR="00F17A81" w:rsidRDefault="007F1292">
      <w:pPr>
        <w:numPr>
          <w:ilvl w:val="0"/>
          <w:numId w:val="1"/>
        </w:numPr>
        <w:spacing w:after="0" w:line="259" w:lineRule="auto"/>
        <w:ind w:hanging="360"/>
      </w:pPr>
      <w:r>
        <w:t xml:space="preserve">HMIS </w:t>
      </w:r>
      <w:r>
        <w:rPr>
          <w:color w:val="1152CC"/>
        </w:rPr>
        <w:t>24 CFR 578.57</w:t>
      </w:r>
      <w:r>
        <w:rPr>
          <w:rFonts w:ascii="Segoe UI Symbol" w:eastAsia="Segoe UI Symbol" w:hAnsi="Segoe UI Symbol" w:cs="Segoe UI Symbol"/>
        </w:rPr>
        <w:t xml:space="preserve"> </w:t>
      </w:r>
    </w:p>
    <w:p w:rsidR="00F17A81" w:rsidRDefault="00F13394">
      <w:pPr>
        <w:numPr>
          <w:ilvl w:val="0"/>
          <w:numId w:val="1"/>
        </w:numPr>
        <w:ind w:hanging="360"/>
      </w:pPr>
      <w:hyperlink r:id="rId15">
        <w:r w:rsidR="007F1292">
          <w:rPr>
            <w:color w:val="0562C1"/>
            <w:u w:val="single" w:color="0562C1"/>
          </w:rPr>
          <w:t>Appendix A</w:t>
        </w:r>
      </w:hyperlink>
      <w:hyperlink r:id="rId16">
        <w:r w:rsidR="007F1292">
          <w:rPr>
            <w:color w:val="0562C1"/>
          </w:rPr>
          <w:t xml:space="preserve"> </w:t>
        </w:r>
      </w:hyperlink>
      <w:hyperlink r:id="rId17">
        <w:r w:rsidR="007F1292">
          <w:t>o</w:t>
        </w:r>
      </w:hyperlink>
      <w:r w:rsidR="007F1292">
        <w:t>utlines other conditionally approved YHDP Round 8 activities</w:t>
      </w:r>
      <w:r w:rsidR="007F1292">
        <w:rPr>
          <w:rFonts w:ascii="Segoe UI Symbol" w:eastAsia="Segoe UI Symbol" w:hAnsi="Segoe UI Symbol" w:cs="Segoe UI Symbol"/>
        </w:rPr>
        <w:t xml:space="preserve"> </w:t>
      </w:r>
    </w:p>
    <w:p w:rsidR="00F17A81" w:rsidRDefault="007F1292">
      <w:pPr>
        <w:spacing w:after="6" w:line="259" w:lineRule="auto"/>
        <w:ind w:left="0" w:firstLine="0"/>
      </w:pPr>
      <w:r>
        <w:rPr>
          <w:sz w:val="26"/>
        </w:rPr>
        <w:t xml:space="preserve"> </w:t>
      </w:r>
    </w:p>
    <w:p w:rsidR="00F17A81" w:rsidRDefault="007F1292">
      <w:pPr>
        <w:spacing w:after="5"/>
        <w:ind w:left="135"/>
      </w:pPr>
      <w:r>
        <w:rPr>
          <w:b/>
        </w:rPr>
        <w:t xml:space="preserve">Q: How do I calculate a budget? </w:t>
      </w:r>
    </w:p>
    <w:p w:rsidR="00F17A81" w:rsidRDefault="007F1292">
      <w:pPr>
        <w:spacing w:after="175"/>
      </w:pPr>
      <w:r>
        <w:rPr>
          <w:b/>
        </w:rPr>
        <w:t xml:space="preserve">A: </w:t>
      </w:r>
      <w:r>
        <w:t xml:space="preserve">Project applicants should be submitting a Joint (TH-RRH) project or RRH project application based on a project budget that will produce effective case management and supportive services over 1 year. Once the demonstration period is over, HUD is very limited in its ability to increase program budgets, as funding availability is determined through the Consolidated Appropriations Acts that are passed by Congress each fiscal year. The </w:t>
      </w:r>
      <w:hyperlink r:id="rId18">
        <w:r>
          <w:rPr>
            <w:color w:val="0562C1"/>
            <w:u w:val="single" w:color="0562C1"/>
          </w:rPr>
          <w:t>Budget Template</w:t>
        </w:r>
      </w:hyperlink>
      <w:hyperlink r:id="rId19">
        <w:r>
          <w:rPr>
            <w:color w:val="0562C1"/>
          </w:rPr>
          <w:t xml:space="preserve"> </w:t>
        </w:r>
      </w:hyperlink>
      <w:hyperlink r:id="rId20">
        <w:r>
          <w:t>s</w:t>
        </w:r>
      </w:hyperlink>
      <w:r>
        <w:t xml:space="preserve">hould be used and can be found on our </w:t>
      </w:r>
      <w:hyperlink r:id="rId21">
        <w:r>
          <w:rPr>
            <w:color w:val="0562C1"/>
            <w:u w:val="single" w:color="0562C1"/>
          </w:rPr>
          <w:t>Grants and Contracts</w:t>
        </w:r>
      </w:hyperlink>
      <w:hyperlink r:id="rId22">
        <w:r>
          <w:rPr>
            <w:color w:val="0562C1"/>
          </w:rPr>
          <w:t xml:space="preserve"> </w:t>
        </w:r>
      </w:hyperlink>
      <w:hyperlink r:id="rId23">
        <w:r>
          <w:t>p</w:t>
        </w:r>
      </w:hyperlink>
      <w:r>
        <w:t xml:space="preserve">age. </w:t>
      </w:r>
    </w:p>
    <w:p w:rsidR="009117FF" w:rsidRDefault="009117FF" w:rsidP="009117FF">
      <w:pPr>
        <w:spacing w:after="175"/>
        <w:rPr>
          <w:b/>
        </w:rPr>
      </w:pPr>
    </w:p>
    <w:p w:rsidR="009117FF" w:rsidRPr="009117FF" w:rsidRDefault="009117FF" w:rsidP="009117FF">
      <w:pPr>
        <w:spacing w:after="175"/>
        <w:rPr>
          <w:b/>
        </w:rPr>
      </w:pPr>
      <w:r w:rsidRPr="009117FF">
        <w:rPr>
          <w:b/>
        </w:rPr>
        <w:t xml:space="preserve">Deposits in the Budget Template </w:t>
      </w:r>
    </w:p>
    <w:p w:rsidR="009117FF" w:rsidRPr="009117FF" w:rsidRDefault="009117FF" w:rsidP="009117FF">
      <w:pPr>
        <w:spacing w:after="175"/>
        <w:rPr>
          <w:b/>
        </w:rPr>
      </w:pPr>
      <w:r w:rsidRPr="009117FF">
        <w:rPr>
          <w:b/>
        </w:rPr>
        <w:t xml:space="preserve">Q: Where should I include deposits in my budget submission? </w:t>
      </w:r>
    </w:p>
    <w:p w:rsidR="009117FF" w:rsidRPr="009117FF" w:rsidRDefault="009117FF" w:rsidP="009117FF">
      <w:pPr>
        <w:spacing w:after="175"/>
        <w:rPr>
          <w:b/>
        </w:rPr>
      </w:pPr>
      <w:r w:rsidRPr="009117FF">
        <w:rPr>
          <w:b/>
        </w:rPr>
        <w:t xml:space="preserve">A: </w:t>
      </w:r>
      <w:r w:rsidRPr="009117FF">
        <w:t xml:space="preserve">Deposits are included in the Budget Line Item (BLI) for Rental Assistance and Leasing on Tab 1 of the budget template spreadsheet. </w:t>
      </w:r>
    </w:p>
    <w:p w:rsidR="009117FF" w:rsidRPr="009117FF" w:rsidRDefault="009117FF" w:rsidP="009117FF">
      <w:pPr>
        <w:spacing w:after="175"/>
        <w:rPr>
          <w:b/>
        </w:rPr>
      </w:pPr>
      <w:r w:rsidRPr="009117FF">
        <w:rPr>
          <w:b/>
        </w:rPr>
        <w:t xml:space="preserve">Q: How should deposits be calculated? </w:t>
      </w:r>
    </w:p>
    <w:p w:rsidR="009117FF" w:rsidRPr="009117FF" w:rsidRDefault="009117FF" w:rsidP="009117FF">
      <w:pPr>
        <w:spacing w:after="175"/>
        <w:rPr>
          <w:b/>
        </w:rPr>
      </w:pPr>
      <w:r w:rsidRPr="009117FF">
        <w:rPr>
          <w:b/>
        </w:rPr>
        <w:t xml:space="preserve">A: </w:t>
      </w:r>
      <w:r w:rsidRPr="009117FF">
        <w:t xml:space="preserve">For both Rental Assistance and Leasing, deposits should be calculated as one month’s rent. </w:t>
      </w:r>
    </w:p>
    <w:p w:rsidR="00F17A81" w:rsidRDefault="007F1292" w:rsidP="009117FF">
      <w:pPr>
        <w:spacing w:after="0" w:line="259" w:lineRule="auto"/>
        <w:ind w:left="256" w:firstLine="0"/>
        <w:jc w:val="center"/>
      </w:pPr>
      <w:r>
        <w:rPr>
          <w:sz w:val="20"/>
        </w:rPr>
        <w:t xml:space="preserve"> </w:t>
      </w:r>
    </w:p>
    <w:p w:rsidR="00DC36BD" w:rsidRDefault="007F1292" w:rsidP="00DC36BD">
      <w:pPr>
        <w:spacing w:after="0"/>
        <w:ind w:left="135" w:right="4693"/>
        <w:rPr>
          <w:b/>
        </w:rPr>
      </w:pPr>
      <w:r>
        <w:rPr>
          <w:b/>
        </w:rPr>
        <w:t xml:space="preserve">Q: What time are applications due on September 2, 2025? </w:t>
      </w:r>
    </w:p>
    <w:p w:rsidR="00F17A81" w:rsidRDefault="007F1292">
      <w:pPr>
        <w:spacing w:after="318"/>
        <w:ind w:left="135" w:right="4693"/>
      </w:pPr>
      <w:r>
        <w:rPr>
          <w:b/>
        </w:rPr>
        <w:t xml:space="preserve">A: </w:t>
      </w:r>
      <w:r>
        <w:t xml:space="preserve">Applications are due by 5:00 pm. </w:t>
      </w:r>
    </w:p>
    <w:p w:rsidR="00DC36BD" w:rsidRPr="00414406" w:rsidRDefault="00DC36BD" w:rsidP="00DC36BD">
      <w:pPr>
        <w:spacing w:after="0"/>
        <w:ind w:left="135" w:right="73"/>
        <w:rPr>
          <w:b/>
        </w:rPr>
      </w:pPr>
      <w:r w:rsidRPr="00414406">
        <w:rPr>
          <w:b/>
        </w:rPr>
        <w:t>Q:</w:t>
      </w:r>
      <w:r w:rsidRPr="00414406">
        <w:t xml:space="preserve"> </w:t>
      </w:r>
      <w:r w:rsidRPr="00414406">
        <w:rPr>
          <w:b/>
        </w:rPr>
        <w:t>Does HUD consider rideshare (like Uber &amp; Lift) an eligible expense under the transportation line item in Supportive Services?</w:t>
      </w:r>
    </w:p>
    <w:p w:rsidR="00DC36BD" w:rsidRPr="00414406" w:rsidRDefault="00DC36BD" w:rsidP="00DC36BD">
      <w:pPr>
        <w:spacing w:after="318"/>
        <w:ind w:left="135" w:right="73"/>
      </w:pPr>
      <w:r w:rsidRPr="00414406">
        <w:rPr>
          <w:b/>
        </w:rPr>
        <w:t xml:space="preserve">A: </w:t>
      </w:r>
      <w:r w:rsidRPr="00414406">
        <w:t>Yes, rideshare is an eligible expense under transportation for CoC and YHDP programs.</w:t>
      </w:r>
    </w:p>
    <w:p w:rsidR="00DC36BD" w:rsidRPr="00414406" w:rsidRDefault="00DC36BD" w:rsidP="00DC36BD">
      <w:pPr>
        <w:spacing w:after="318"/>
        <w:ind w:left="135" w:right="73"/>
        <w:rPr>
          <w:rFonts w:ascii="Aptos" w:hAnsi="Aptos"/>
          <w:color w:val="auto"/>
          <w:shd w:val="clear" w:color="auto" w:fill="FFFFFF"/>
        </w:rPr>
      </w:pPr>
      <w:r w:rsidRPr="00414406">
        <w:rPr>
          <w:rFonts w:ascii="Aptos" w:hAnsi="Aptos"/>
          <w:color w:val="auto"/>
          <w:shd w:val="clear" w:color="auto" w:fill="FFFFFF"/>
        </w:rPr>
        <w:t xml:space="preserve">You can pay for ride-shares to help clients </w:t>
      </w:r>
      <w:r w:rsidR="00EA78E3" w:rsidRPr="00414406">
        <w:rPr>
          <w:rFonts w:ascii="Aptos" w:hAnsi="Aptos"/>
          <w:color w:val="auto"/>
          <w:shd w:val="clear" w:color="auto" w:fill="FFFFFF"/>
        </w:rPr>
        <w:t xml:space="preserve">to get to </w:t>
      </w:r>
      <w:r w:rsidRPr="00414406">
        <w:rPr>
          <w:rFonts w:ascii="Aptos" w:hAnsi="Aptos"/>
          <w:color w:val="auto"/>
          <w:shd w:val="clear" w:color="auto" w:fill="FFFFFF"/>
        </w:rPr>
        <w:t>eligible services (such as work, school, or medical appointments). You need to have a consistent way to document that public transportation isn’t a good option – e.g., that it would take much longer, that it isn’t reasonably available at the time when it’s needed (e.g., for third-shift</w:t>
      </w:r>
      <w:r w:rsidR="00EA78E3" w:rsidRPr="00414406">
        <w:rPr>
          <w:rFonts w:ascii="Aptos" w:hAnsi="Aptos"/>
          <w:color w:val="auto"/>
          <w:shd w:val="clear" w:color="auto" w:fill="FFFFFF"/>
        </w:rPr>
        <w:t xml:space="preserve"> </w:t>
      </w:r>
      <w:r w:rsidRPr="00414406">
        <w:rPr>
          <w:rFonts w:ascii="Aptos" w:hAnsi="Aptos"/>
          <w:color w:val="auto"/>
          <w:shd w:val="clear" w:color="auto" w:fill="FFFFFF"/>
        </w:rPr>
        <w:t>workers), that the area the young person would have to walk through or wait in to catch transport is unsafe, or COVID concerns.</w:t>
      </w:r>
    </w:p>
    <w:p w:rsidR="00DC36BD" w:rsidRPr="00DC36BD" w:rsidRDefault="00DC36BD" w:rsidP="00DC36BD">
      <w:pPr>
        <w:shd w:val="clear" w:color="auto" w:fill="FFFFFF"/>
        <w:spacing w:line="240" w:lineRule="auto"/>
        <w:ind w:left="90" w:firstLine="0"/>
        <w:rPr>
          <w:rFonts w:ascii="Aptos" w:eastAsia="Times New Roman" w:hAnsi="Aptos" w:cs="Times New Roman"/>
          <w:color w:val="auto"/>
          <w:szCs w:val="24"/>
        </w:rPr>
      </w:pPr>
      <w:r w:rsidRPr="00DC36BD">
        <w:rPr>
          <w:rFonts w:ascii="Aptos" w:eastAsia="Times New Roman" w:hAnsi="Aptos" w:cs="Times New Roman"/>
          <w:color w:val="auto"/>
          <w:szCs w:val="24"/>
        </w:rPr>
        <w:t>Official guidance from HUD’s AAQ:</w:t>
      </w:r>
    </w:p>
    <w:p w:rsidR="00DC36BD" w:rsidRPr="00DC36BD" w:rsidRDefault="00DC36BD" w:rsidP="00DC36BD">
      <w:pPr>
        <w:numPr>
          <w:ilvl w:val="0"/>
          <w:numId w:val="2"/>
        </w:numPr>
        <w:shd w:val="clear" w:color="auto" w:fill="FFFFFF"/>
        <w:spacing w:after="0" w:line="240" w:lineRule="auto"/>
        <w:ind w:left="450"/>
        <w:rPr>
          <w:rFonts w:ascii="Aptos" w:eastAsia="Times New Roman" w:hAnsi="Aptos" w:cs="Arial"/>
          <w:color w:val="auto"/>
          <w:szCs w:val="24"/>
        </w:rPr>
      </w:pPr>
      <w:r w:rsidRPr="00DC36BD">
        <w:rPr>
          <w:rFonts w:ascii="Aptos" w:eastAsia="Times New Roman" w:hAnsi="Aptos" w:cs="Arial"/>
          <w:color w:val="auto"/>
          <w:szCs w:val="24"/>
        </w:rPr>
        <w:t xml:space="preserve">A taxi, </w:t>
      </w:r>
      <w:r w:rsidRPr="00414406">
        <w:rPr>
          <w:rFonts w:ascii="Aptos" w:eastAsia="Times New Roman" w:hAnsi="Aptos" w:cs="Arial"/>
          <w:color w:val="auto"/>
          <w:szCs w:val="24"/>
        </w:rPr>
        <w:t>Uber</w:t>
      </w:r>
      <w:r w:rsidRPr="00DC36BD">
        <w:rPr>
          <w:rFonts w:ascii="Aptos" w:eastAsia="Times New Roman" w:hAnsi="Aptos" w:cs="Arial"/>
          <w:color w:val="auto"/>
          <w:szCs w:val="24"/>
        </w:rPr>
        <w:t xml:space="preserve">, or </w:t>
      </w:r>
      <w:r w:rsidRPr="00414406">
        <w:rPr>
          <w:rFonts w:ascii="Aptos" w:eastAsia="Times New Roman" w:hAnsi="Aptos" w:cs="Arial"/>
          <w:color w:val="auto"/>
          <w:szCs w:val="24"/>
        </w:rPr>
        <w:t>Lyft</w:t>
      </w:r>
      <w:r w:rsidRPr="00DC36BD">
        <w:rPr>
          <w:rFonts w:ascii="Aptos" w:eastAsia="Times New Roman" w:hAnsi="Aptos" w:cs="Arial"/>
          <w:color w:val="auto"/>
          <w:szCs w:val="24"/>
        </w:rPr>
        <w:t xml:space="preserve"> would be an eligible cost under transportation in the supportive service section of the CoC Program interim rule, so long as the costs are reasonable and appropriate, and other public transportation options are not available or reasonable for a program participant.</w:t>
      </w:r>
    </w:p>
    <w:p w:rsidR="00DC36BD" w:rsidRPr="00DC36BD" w:rsidRDefault="00DC36BD" w:rsidP="00DC36BD">
      <w:pPr>
        <w:numPr>
          <w:ilvl w:val="0"/>
          <w:numId w:val="2"/>
        </w:numPr>
        <w:shd w:val="clear" w:color="auto" w:fill="FFFFFF"/>
        <w:spacing w:after="0" w:line="240" w:lineRule="auto"/>
        <w:ind w:left="450"/>
        <w:rPr>
          <w:rFonts w:ascii="Aptos" w:eastAsia="Times New Roman" w:hAnsi="Aptos" w:cs="Arial"/>
          <w:color w:val="auto"/>
          <w:szCs w:val="24"/>
        </w:rPr>
      </w:pPr>
      <w:r w:rsidRPr="00DC36BD">
        <w:rPr>
          <w:rFonts w:ascii="Aptos" w:eastAsia="Times New Roman" w:hAnsi="Aptos" w:cs="Arial"/>
          <w:color w:val="auto"/>
          <w:szCs w:val="24"/>
        </w:rPr>
        <w:t xml:space="preserve">When public transportation, recipient/subrecipient transport, taxis, </w:t>
      </w:r>
      <w:r w:rsidRPr="00414406">
        <w:rPr>
          <w:rFonts w:ascii="Aptos" w:eastAsia="Times New Roman" w:hAnsi="Aptos" w:cs="Arial"/>
          <w:color w:val="auto"/>
          <w:szCs w:val="24"/>
        </w:rPr>
        <w:t>Uber</w:t>
      </w:r>
      <w:r w:rsidRPr="00DC36BD">
        <w:rPr>
          <w:rFonts w:ascii="Aptos" w:eastAsia="Times New Roman" w:hAnsi="Aptos" w:cs="Arial"/>
          <w:color w:val="auto"/>
          <w:szCs w:val="24"/>
        </w:rPr>
        <w:t xml:space="preserve">, and </w:t>
      </w:r>
      <w:proofErr w:type="spellStart"/>
      <w:r w:rsidRPr="00414406">
        <w:rPr>
          <w:rFonts w:ascii="Aptos" w:eastAsia="Times New Roman" w:hAnsi="Aptos" w:cs="Arial"/>
          <w:color w:val="auto"/>
          <w:szCs w:val="24"/>
        </w:rPr>
        <w:t>L</w:t>
      </w:r>
      <w:r w:rsidRPr="00DC36BD">
        <w:rPr>
          <w:rFonts w:ascii="Aptos" w:eastAsia="Times New Roman" w:hAnsi="Aptos" w:cs="Arial"/>
          <w:color w:val="auto"/>
          <w:szCs w:val="24"/>
        </w:rPr>
        <w:t>yfts</w:t>
      </w:r>
      <w:proofErr w:type="spellEnd"/>
      <w:r w:rsidRPr="00DC36BD">
        <w:rPr>
          <w:rFonts w:ascii="Aptos" w:eastAsia="Times New Roman" w:hAnsi="Aptos" w:cs="Arial"/>
          <w:color w:val="auto"/>
          <w:szCs w:val="24"/>
        </w:rPr>
        <w:t xml:space="preserve"> are used by a program participant for eligible activities under 578.53(e</w:t>
      </w:r>
      <w:proofErr w:type="gramStart"/>
      <w:r w:rsidRPr="00DC36BD">
        <w:rPr>
          <w:rFonts w:ascii="Aptos" w:eastAsia="Times New Roman" w:hAnsi="Aptos" w:cs="Arial"/>
          <w:color w:val="auto"/>
          <w:szCs w:val="24"/>
        </w:rPr>
        <w:t>)(</w:t>
      </w:r>
      <w:proofErr w:type="gramEnd"/>
      <w:r w:rsidRPr="00DC36BD">
        <w:rPr>
          <w:rFonts w:ascii="Aptos" w:eastAsia="Times New Roman" w:hAnsi="Aptos" w:cs="Arial"/>
          <w:color w:val="auto"/>
          <w:szCs w:val="24"/>
        </w:rPr>
        <w:t xml:space="preserve">15), and the recipient or subrecipient </w:t>
      </w:r>
      <w:r w:rsidRPr="00414406">
        <w:rPr>
          <w:rFonts w:ascii="Aptos" w:eastAsia="Times New Roman" w:hAnsi="Aptos" w:cs="Arial"/>
          <w:color w:val="auto"/>
          <w:szCs w:val="24"/>
        </w:rPr>
        <w:t>can</w:t>
      </w:r>
      <w:r w:rsidRPr="00DC36BD">
        <w:rPr>
          <w:rFonts w:ascii="Aptos" w:eastAsia="Times New Roman" w:hAnsi="Aptos" w:cs="Arial"/>
          <w:color w:val="auto"/>
          <w:szCs w:val="24"/>
        </w:rPr>
        <w:t xml:space="preserve"> document that it was used to pay for eligible costs, a recipient or subrecipient may draw down funds and be reimbursed for these costs.</w:t>
      </w:r>
    </w:p>
    <w:p w:rsidR="00DC36BD" w:rsidRPr="00DC36BD" w:rsidRDefault="00DC36BD" w:rsidP="00DC36BD">
      <w:pPr>
        <w:numPr>
          <w:ilvl w:val="0"/>
          <w:numId w:val="2"/>
        </w:numPr>
        <w:shd w:val="clear" w:color="auto" w:fill="FFFFFF"/>
        <w:spacing w:after="160" w:line="240" w:lineRule="auto"/>
        <w:ind w:left="450"/>
        <w:rPr>
          <w:rFonts w:ascii="Aptos" w:eastAsia="Times New Roman" w:hAnsi="Aptos" w:cs="Arial"/>
          <w:color w:val="auto"/>
          <w:szCs w:val="24"/>
        </w:rPr>
      </w:pPr>
      <w:r w:rsidRPr="00DC36BD">
        <w:rPr>
          <w:rFonts w:ascii="Aptos" w:eastAsia="Times New Roman" w:hAnsi="Aptos" w:cs="Arial"/>
          <w:color w:val="auto"/>
          <w:szCs w:val="24"/>
        </w:rPr>
        <w:t>If the recipient or subrecipient is not able to determine and document that the program participant used these modes of transportation for eligible activities, they may not be reimbursed with CoC grant funds for their costs.</w:t>
      </w:r>
    </w:p>
    <w:p w:rsidR="00DC36BD" w:rsidRPr="00414406" w:rsidRDefault="00EA78E3" w:rsidP="00DC36BD">
      <w:pPr>
        <w:spacing w:after="318"/>
        <w:ind w:left="135" w:right="73"/>
        <w:rPr>
          <w:b/>
          <w:color w:val="auto"/>
        </w:rPr>
      </w:pPr>
      <w:r w:rsidRPr="00414406">
        <w:rPr>
          <w:b/>
          <w:color w:val="auto"/>
        </w:rPr>
        <w:t>Q: Can RTFH provide clarification regarding the following statement mentioned in the YHDP Round 8 RFP?</w:t>
      </w:r>
    </w:p>
    <w:p w:rsidR="00EA78E3" w:rsidRPr="00414406" w:rsidRDefault="00EA78E3" w:rsidP="00DC36BD">
      <w:pPr>
        <w:spacing w:after="318"/>
        <w:ind w:left="135" w:right="73"/>
        <w:rPr>
          <w:color w:val="auto"/>
        </w:rPr>
      </w:pPr>
      <w:r w:rsidRPr="00414406">
        <w:rPr>
          <w:color w:val="auto"/>
        </w:rPr>
        <w:t>“Rental assistance may be combined with leasing or operating funds in the same building, provided that the recipient submits a project plan that includes safeguards to ensure that no unit receives a double-subsidy, defined as rent in excess of the pro-rata reasonable rent for the unit.</w:t>
      </w:r>
    </w:p>
    <w:p w:rsidR="00AC3A6D" w:rsidRPr="00414406" w:rsidRDefault="00EA78E3" w:rsidP="00DC36BD">
      <w:pPr>
        <w:spacing w:after="318"/>
        <w:ind w:left="135" w:right="73"/>
        <w:rPr>
          <w:color w:val="auto"/>
        </w:rPr>
      </w:pPr>
      <w:r w:rsidRPr="00414406">
        <w:rPr>
          <w:b/>
          <w:color w:val="auto"/>
        </w:rPr>
        <w:t xml:space="preserve">A: </w:t>
      </w:r>
      <w:r w:rsidR="00700836" w:rsidRPr="00414406">
        <w:rPr>
          <w:b/>
          <w:color w:val="auto"/>
        </w:rPr>
        <w:t xml:space="preserve"> </w:t>
      </w:r>
      <w:r w:rsidR="00700836" w:rsidRPr="00414406">
        <w:rPr>
          <w:color w:val="auto"/>
        </w:rPr>
        <w:t xml:space="preserve">Normally, you can't do both leasing/operating and rental assistance in the same building. To operate the TH-RRH project, it may be necessary to allow for RA and leasing/operating to be paid in the same building </w:t>
      </w:r>
      <w:r w:rsidR="00AC3A6D" w:rsidRPr="00414406">
        <w:rPr>
          <w:color w:val="auto"/>
        </w:rPr>
        <w:t>to:</w:t>
      </w:r>
      <w:r w:rsidR="00700836" w:rsidRPr="00414406">
        <w:rPr>
          <w:color w:val="auto"/>
        </w:rPr>
        <w:t xml:space="preserve"> </w:t>
      </w:r>
    </w:p>
    <w:p w:rsidR="00AC3A6D" w:rsidRPr="00414406" w:rsidRDefault="00700836" w:rsidP="00DC36BD">
      <w:pPr>
        <w:spacing w:after="318"/>
        <w:ind w:left="135" w:right="73"/>
        <w:rPr>
          <w:color w:val="auto"/>
        </w:rPr>
      </w:pPr>
      <w:r w:rsidRPr="00414406">
        <w:rPr>
          <w:color w:val="auto"/>
        </w:rPr>
        <w:t>(1) allow for youth to transition in place from TH to RRH if they so desire (i.e., other youth would still be in TH while that youth transitions to RRH in the same building) or</w:t>
      </w:r>
    </w:p>
    <w:p w:rsidR="00037EB6" w:rsidRDefault="00700836" w:rsidP="00037EB6">
      <w:pPr>
        <w:spacing w:after="318"/>
        <w:ind w:left="135" w:right="73"/>
        <w:rPr>
          <w:color w:val="auto"/>
        </w:rPr>
      </w:pPr>
      <w:r w:rsidRPr="00414406">
        <w:rPr>
          <w:color w:val="auto"/>
        </w:rPr>
        <w:lastRenderedPageBreak/>
        <w:t xml:space="preserve"> (2) utilize the special activity to use leasing/operating in RRH (e.g., if a youth can't get a lease in their name due to lack of rental history but the LL would let you put the lease in the agency's name for the first year and then transition it to the youth, and it's in the same building where other youth are receiving RA through RRH-- you would need this flexibility to make that work).</w:t>
      </w:r>
    </w:p>
    <w:p w:rsidR="003E32D8" w:rsidRDefault="003E32D8" w:rsidP="003E32D8">
      <w:pPr>
        <w:spacing w:after="318"/>
        <w:ind w:right="73"/>
        <w:rPr>
          <w:rFonts w:asciiTheme="minorHAnsi" w:hAnsiTheme="minorHAnsi" w:cstheme="minorHAnsi"/>
          <w:color w:val="222222"/>
          <w:szCs w:val="24"/>
          <w:shd w:val="clear" w:color="auto" w:fill="FFFFFF"/>
        </w:rPr>
      </w:pPr>
      <w:r w:rsidRPr="003E32D8">
        <w:rPr>
          <w:rFonts w:asciiTheme="minorHAnsi" w:hAnsiTheme="minorHAnsi" w:cstheme="minorHAnsi"/>
          <w:b/>
          <w:color w:val="222222"/>
          <w:szCs w:val="24"/>
          <w:shd w:val="clear" w:color="auto" w:fill="FFFFFF"/>
        </w:rPr>
        <w:t>Q: Can RTFH confirm if</w:t>
      </w:r>
      <w:r w:rsidRPr="003E32D8">
        <w:rPr>
          <w:rFonts w:asciiTheme="minorHAnsi" w:hAnsiTheme="minorHAnsi" w:cstheme="minorHAnsi"/>
          <w:b/>
          <w:color w:val="222222"/>
          <w:szCs w:val="24"/>
          <w:shd w:val="clear" w:color="auto" w:fill="FFFFFF"/>
        </w:rPr>
        <w:t xml:space="preserve"> the character/word limit applies to each principle</w:t>
      </w:r>
      <w:r w:rsidRPr="003E32D8">
        <w:rPr>
          <w:rFonts w:asciiTheme="minorHAnsi" w:hAnsiTheme="minorHAnsi" w:cstheme="minorHAnsi"/>
          <w:b/>
          <w:color w:val="222222"/>
          <w:szCs w:val="24"/>
          <w:shd w:val="clear" w:color="auto" w:fill="FFFFFF"/>
        </w:rPr>
        <w:t xml:space="preserve"> in Part </w:t>
      </w:r>
      <w:r>
        <w:rPr>
          <w:rFonts w:asciiTheme="minorHAnsi" w:hAnsiTheme="minorHAnsi" w:cstheme="minorHAnsi"/>
          <w:b/>
          <w:color w:val="222222"/>
          <w:szCs w:val="24"/>
          <w:shd w:val="clear" w:color="auto" w:fill="FFFFFF"/>
        </w:rPr>
        <w:t>G</w:t>
      </w:r>
      <w:r w:rsidRPr="003E32D8">
        <w:rPr>
          <w:rFonts w:asciiTheme="minorHAnsi" w:hAnsiTheme="minorHAnsi" w:cstheme="minorHAnsi"/>
          <w:b/>
          <w:color w:val="222222"/>
          <w:szCs w:val="24"/>
          <w:shd w:val="clear" w:color="auto" w:fill="FFFFFF"/>
        </w:rPr>
        <w:t xml:space="preserve"> or to </w:t>
      </w:r>
      <w:r w:rsidRPr="003E32D8">
        <w:rPr>
          <w:rFonts w:asciiTheme="minorHAnsi" w:hAnsiTheme="minorHAnsi" w:cstheme="minorHAnsi"/>
          <w:b/>
          <w:color w:val="222222"/>
          <w:szCs w:val="24"/>
          <w:shd w:val="clear" w:color="auto" w:fill="FFFFFF"/>
        </w:rPr>
        <w:t>Question 1 as a whole</w:t>
      </w:r>
      <w:r w:rsidRPr="003E32D8">
        <w:rPr>
          <w:rFonts w:asciiTheme="minorHAnsi" w:hAnsiTheme="minorHAnsi" w:cstheme="minorHAnsi"/>
          <w:b/>
          <w:color w:val="222222"/>
          <w:szCs w:val="24"/>
          <w:shd w:val="clear" w:color="auto" w:fill="FFFFFF"/>
        </w:rPr>
        <w:t>?</w:t>
      </w:r>
    </w:p>
    <w:p w:rsidR="003E32D8" w:rsidRPr="003E32D8" w:rsidRDefault="003E32D8" w:rsidP="003E32D8">
      <w:pPr>
        <w:spacing w:after="318"/>
        <w:ind w:right="73"/>
        <w:rPr>
          <w:rFonts w:asciiTheme="minorHAnsi" w:hAnsiTheme="minorHAnsi" w:cstheme="minorHAnsi"/>
          <w:b/>
          <w:color w:val="auto"/>
          <w:szCs w:val="24"/>
        </w:rPr>
      </w:pPr>
      <w:r>
        <w:rPr>
          <w:rFonts w:asciiTheme="minorHAnsi" w:hAnsiTheme="minorHAnsi" w:cstheme="minorHAnsi"/>
          <w:b/>
          <w:color w:val="222222"/>
          <w:szCs w:val="24"/>
          <w:shd w:val="clear" w:color="auto" w:fill="FFFFFF"/>
        </w:rPr>
        <w:t>A:</w:t>
      </w:r>
      <w:r>
        <w:rPr>
          <w:rFonts w:asciiTheme="minorHAnsi" w:hAnsiTheme="minorHAnsi" w:cstheme="minorHAnsi"/>
          <w:b/>
          <w:color w:val="auto"/>
          <w:szCs w:val="24"/>
        </w:rPr>
        <w:t xml:space="preserve"> </w:t>
      </w:r>
      <w:r w:rsidRPr="003E32D8">
        <w:rPr>
          <w:rFonts w:asciiTheme="minorHAnsi" w:hAnsiTheme="minorHAnsi" w:cstheme="minorHAnsi"/>
          <w:color w:val="auto"/>
          <w:szCs w:val="24"/>
        </w:rPr>
        <w:t>The 3,500</w:t>
      </w:r>
      <w:r>
        <w:rPr>
          <w:rFonts w:asciiTheme="minorHAnsi" w:hAnsiTheme="minorHAnsi" w:cstheme="minorHAnsi"/>
          <w:color w:val="auto"/>
          <w:szCs w:val="24"/>
        </w:rPr>
        <w:t>-character</w:t>
      </w:r>
      <w:r w:rsidRPr="003E32D8">
        <w:rPr>
          <w:rFonts w:asciiTheme="minorHAnsi" w:hAnsiTheme="minorHAnsi" w:cstheme="minorHAnsi"/>
          <w:color w:val="auto"/>
          <w:szCs w:val="24"/>
        </w:rPr>
        <w:t xml:space="preserve"> limit is applied to the whole question and not to parts of the question, so for Question #1 in Part G</w:t>
      </w:r>
      <w:r>
        <w:rPr>
          <w:rFonts w:asciiTheme="minorHAnsi" w:hAnsiTheme="minorHAnsi" w:cstheme="minorHAnsi"/>
          <w:color w:val="auto"/>
          <w:szCs w:val="24"/>
        </w:rPr>
        <w:t>,</w:t>
      </w:r>
      <w:r w:rsidRPr="003E32D8">
        <w:rPr>
          <w:rFonts w:asciiTheme="minorHAnsi" w:hAnsiTheme="minorHAnsi" w:cstheme="minorHAnsi"/>
          <w:color w:val="auto"/>
          <w:szCs w:val="24"/>
        </w:rPr>
        <w:t xml:space="preserve"> that entire question has a </w:t>
      </w:r>
      <w:r>
        <w:rPr>
          <w:rFonts w:asciiTheme="minorHAnsi" w:hAnsiTheme="minorHAnsi" w:cstheme="minorHAnsi"/>
          <w:color w:val="auto"/>
          <w:szCs w:val="24"/>
        </w:rPr>
        <w:t>3,500-character</w:t>
      </w:r>
      <w:r w:rsidRPr="003E32D8">
        <w:rPr>
          <w:rFonts w:asciiTheme="minorHAnsi" w:hAnsiTheme="minorHAnsi" w:cstheme="minorHAnsi"/>
          <w:color w:val="auto"/>
          <w:szCs w:val="24"/>
        </w:rPr>
        <w:t xml:space="preserve"> word limit.</w:t>
      </w:r>
    </w:p>
    <w:p w:rsidR="00F17A81" w:rsidRPr="00037EB6" w:rsidRDefault="004E1195" w:rsidP="00037EB6">
      <w:pPr>
        <w:tabs>
          <w:tab w:val="right" w:pos="10873"/>
        </w:tabs>
        <w:spacing w:after="92" w:line="259" w:lineRule="auto"/>
        <w:ind w:left="0" w:right="-3" w:firstLine="0"/>
        <w:rPr>
          <w:b/>
          <w:u w:val="single"/>
        </w:rPr>
      </w:pPr>
      <w:r>
        <w:rPr>
          <w:b/>
          <w:u w:val="single"/>
        </w:rPr>
        <w:t xml:space="preserve">Budget Template </w:t>
      </w:r>
      <w:r w:rsidR="00037EB6" w:rsidRPr="00037EB6">
        <w:rPr>
          <w:b/>
          <w:u w:val="single"/>
        </w:rPr>
        <w:t>Update Notice:</w:t>
      </w:r>
    </w:p>
    <w:p w:rsidR="00037EB6" w:rsidRDefault="00037EB6" w:rsidP="00037EB6">
      <w:pPr>
        <w:tabs>
          <w:tab w:val="right" w:pos="10873"/>
        </w:tabs>
        <w:spacing w:after="92" w:line="259" w:lineRule="auto"/>
        <w:ind w:left="0" w:right="-3" w:firstLine="0"/>
      </w:pPr>
    </w:p>
    <w:p w:rsidR="00037EB6" w:rsidRPr="00037EB6" w:rsidRDefault="00037EB6" w:rsidP="00037EB6">
      <w:pPr>
        <w:tabs>
          <w:tab w:val="right" w:pos="10873"/>
        </w:tabs>
        <w:spacing w:after="92" w:line="259" w:lineRule="auto"/>
        <w:ind w:left="0" w:right="-3" w:firstLine="0"/>
        <w:rPr>
          <w:rFonts w:asciiTheme="minorHAnsi" w:hAnsiTheme="minorHAnsi" w:cstheme="minorHAnsi"/>
        </w:rPr>
      </w:pPr>
      <w:r w:rsidRPr="00037EB6">
        <w:rPr>
          <w:rFonts w:asciiTheme="minorHAnsi" w:hAnsiTheme="minorHAnsi" w:cstheme="minorHAnsi"/>
        </w:rPr>
        <w:t xml:space="preserve">RTFH has made the following update to the budget template </w:t>
      </w:r>
      <w:r w:rsidR="006E3E40">
        <w:rPr>
          <w:rFonts w:asciiTheme="minorHAnsi" w:hAnsiTheme="minorHAnsi" w:cstheme="minorHAnsi"/>
        </w:rPr>
        <w:t>as of August 27, 2025</w:t>
      </w:r>
      <w:r w:rsidRPr="00037EB6">
        <w:rPr>
          <w:rFonts w:asciiTheme="minorHAnsi" w:hAnsiTheme="minorHAnsi" w:cstheme="minorHAnsi"/>
        </w:rPr>
        <w:t xml:space="preserve"> </w:t>
      </w:r>
    </w:p>
    <w:p w:rsidR="00037EB6" w:rsidRPr="00037EB6" w:rsidRDefault="00037EB6" w:rsidP="00037EB6">
      <w:pPr>
        <w:shd w:val="clear" w:color="auto" w:fill="FFFFFF"/>
        <w:spacing w:after="0" w:line="240" w:lineRule="auto"/>
        <w:ind w:left="0" w:firstLine="0"/>
        <w:rPr>
          <w:rFonts w:asciiTheme="minorHAnsi" w:eastAsia="Times New Roman" w:hAnsiTheme="minorHAnsi" w:cstheme="minorHAnsi"/>
          <w:color w:val="222222"/>
          <w:szCs w:val="24"/>
        </w:rPr>
      </w:pPr>
    </w:p>
    <w:p w:rsidR="00037EB6" w:rsidRPr="00037EB6" w:rsidRDefault="00037EB6" w:rsidP="00037EB6">
      <w:pPr>
        <w:shd w:val="clear" w:color="auto" w:fill="FFFFFF"/>
        <w:spacing w:after="0" w:line="240" w:lineRule="auto"/>
        <w:ind w:left="0" w:firstLine="0"/>
        <w:rPr>
          <w:rFonts w:asciiTheme="minorHAnsi" w:eastAsia="Times New Roman" w:hAnsiTheme="minorHAnsi" w:cstheme="minorHAnsi"/>
          <w:color w:val="222222"/>
          <w:szCs w:val="24"/>
        </w:rPr>
      </w:pPr>
      <w:r w:rsidRPr="00037EB6">
        <w:rPr>
          <w:rFonts w:asciiTheme="minorHAnsi" w:eastAsia="Times New Roman" w:hAnsiTheme="minorHAnsi" w:cstheme="minorHAnsi"/>
          <w:color w:val="222222"/>
          <w:szCs w:val="24"/>
        </w:rPr>
        <w:t>We have removed from the instructions on the YHDP Flexibilities tab:</w:t>
      </w:r>
    </w:p>
    <w:p w:rsidR="00037EB6" w:rsidRDefault="00037EB6" w:rsidP="00037EB6">
      <w:pPr>
        <w:shd w:val="clear" w:color="auto" w:fill="FFFFFF"/>
        <w:spacing w:after="0" w:line="240" w:lineRule="auto"/>
        <w:ind w:left="0" w:firstLine="0"/>
        <w:rPr>
          <w:rFonts w:asciiTheme="minorHAnsi" w:eastAsia="Times New Roman" w:hAnsiTheme="minorHAnsi" w:cstheme="minorHAnsi"/>
          <w:i/>
          <w:iCs/>
          <w:color w:val="222222"/>
          <w:szCs w:val="24"/>
        </w:rPr>
      </w:pPr>
    </w:p>
    <w:p w:rsidR="00037EB6" w:rsidRPr="00037EB6" w:rsidRDefault="00037EB6" w:rsidP="00037EB6">
      <w:pPr>
        <w:shd w:val="clear" w:color="auto" w:fill="FFFFFF"/>
        <w:spacing w:after="0" w:line="240" w:lineRule="auto"/>
        <w:ind w:left="0" w:firstLine="0"/>
        <w:rPr>
          <w:rFonts w:asciiTheme="minorHAnsi" w:eastAsia="Times New Roman" w:hAnsiTheme="minorHAnsi" w:cstheme="minorHAnsi"/>
          <w:color w:val="222222"/>
          <w:szCs w:val="24"/>
        </w:rPr>
      </w:pPr>
      <w:r>
        <w:rPr>
          <w:rFonts w:asciiTheme="minorHAnsi" w:eastAsia="Times New Roman" w:hAnsiTheme="minorHAnsi" w:cstheme="minorHAnsi"/>
          <w:i/>
          <w:iCs/>
          <w:color w:val="222222"/>
          <w:szCs w:val="24"/>
        </w:rPr>
        <w:t>“</w:t>
      </w:r>
      <w:r w:rsidRPr="00037EB6">
        <w:rPr>
          <w:rFonts w:asciiTheme="minorHAnsi" w:eastAsia="Times New Roman" w:hAnsiTheme="minorHAnsi" w:cstheme="minorHAnsi"/>
          <w:i/>
          <w:iCs/>
          <w:color w:val="222222"/>
          <w:szCs w:val="24"/>
        </w:rPr>
        <w:t>Flexibilities highlighted in green are required when applicable to the project type. Required special activities have already been checked when they apply to all project types, other required activities should be checked if applicable to the project type-please refer to the YHDP Special Activities sections of the application for more details</w:t>
      </w:r>
      <w:r>
        <w:rPr>
          <w:rFonts w:asciiTheme="minorHAnsi" w:eastAsia="Times New Roman" w:hAnsiTheme="minorHAnsi" w:cstheme="minorHAnsi"/>
          <w:i/>
          <w:iCs/>
          <w:color w:val="222222"/>
          <w:szCs w:val="24"/>
        </w:rPr>
        <w:t>”</w:t>
      </w:r>
      <w:r w:rsidRPr="00037EB6">
        <w:rPr>
          <w:rFonts w:asciiTheme="minorHAnsi" w:eastAsia="Times New Roman" w:hAnsiTheme="minorHAnsi" w:cstheme="minorHAnsi"/>
          <w:i/>
          <w:iCs/>
          <w:color w:val="222222"/>
          <w:szCs w:val="24"/>
        </w:rPr>
        <w:t>.</w:t>
      </w:r>
    </w:p>
    <w:p w:rsidR="00037EB6" w:rsidRPr="00037EB6" w:rsidRDefault="00037EB6" w:rsidP="00037EB6">
      <w:pPr>
        <w:shd w:val="clear" w:color="auto" w:fill="FFFFFF"/>
        <w:spacing w:after="0" w:line="240" w:lineRule="auto"/>
        <w:ind w:left="0" w:firstLine="0"/>
        <w:rPr>
          <w:rFonts w:asciiTheme="minorHAnsi" w:eastAsia="Times New Roman" w:hAnsiTheme="minorHAnsi" w:cstheme="minorHAnsi"/>
          <w:color w:val="222222"/>
          <w:szCs w:val="24"/>
        </w:rPr>
      </w:pPr>
    </w:p>
    <w:p w:rsidR="00037EB6" w:rsidRDefault="00037EB6" w:rsidP="00037EB6">
      <w:pPr>
        <w:tabs>
          <w:tab w:val="right" w:pos="10873"/>
        </w:tabs>
        <w:spacing w:after="92" w:line="259" w:lineRule="auto"/>
        <w:ind w:left="0" w:right="-3" w:firstLine="0"/>
        <w:rPr>
          <w:rFonts w:asciiTheme="minorHAnsi" w:eastAsia="Times New Roman" w:hAnsiTheme="minorHAnsi" w:cstheme="minorHAnsi"/>
          <w:color w:val="222222"/>
          <w:szCs w:val="24"/>
          <w:shd w:val="clear" w:color="auto" w:fill="FFFFFF"/>
        </w:rPr>
      </w:pPr>
      <w:r w:rsidRPr="00037EB6">
        <w:rPr>
          <w:rFonts w:asciiTheme="minorHAnsi" w:eastAsia="Times New Roman" w:hAnsiTheme="minorHAnsi" w:cstheme="minorHAnsi"/>
          <w:color w:val="222222"/>
          <w:szCs w:val="24"/>
          <w:shd w:val="clear" w:color="auto" w:fill="FFFFFF"/>
        </w:rPr>
        <w:t>RTFH special activities are available to all, and none are required. RTFH requested all special activities from HUD.  </w:t>
      </w: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bookmarkStart w:id="0" w:name="_GoBack"/>
      <w:bookmarkEnd w:id="0"/>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Default="003E32D8" w:rsidP="00037EB6">
      <w:pPr>
        <w:tabs>
          <w:tab w:val="right" w:pos="10873"/>
        </w:tabs>
        <w:spacing w:after="92" w:line="259" w:lineRule="auto"/>
        <w:ind w:left="0" w:right="-3" w:firstLine="0"/>
        <w:rPr>
          <w:rFonts w:asciiTheme="minorHAnsi" w:hAnsiTheme="minorHAnsi" w:cstheme="minorHAnsi"/>
        </w:rPr>
      </w:pPr>
    </w:p>
    <w:p w:rsidR="003E32D8" w:rsidRPr="00037EB6" w:rsidRDefault="003E32D8" w:rsidP="00037EB6">
      <w:pPr>
        <w:tabs>
          <w:tab w:val="right" w:pos="10873"/>
        </w:tabs>
        <w:spacing w:after="92" w:line="259" w:lineRule="auto"/>
        <w:ind w:left="0" w:right="-3" w:firstLine="0"/>
        <w:rPr>
          <w:rFonts w:asciiTheme="minorHAnsi" w:hAnsiTheme="minorHAnsi" w:cstheme="minorHAnsi"/>
        </w:rPr>
      </w:pPr>
      <w:r>
        <w:rPr>
          <w:rFonts w:asciiTheme="minorHAnsi" w:hAnsiTheme="minorHAnsi" w:cstheme="minorHAnsi"/>
        </w:rPr>
        <w:tab/>
        <w:t>Last Updated on August 29, 2025</w:t>
      </w:r>
    </w:p>
    <w:sectPr w:rsidR="003E32D8" w:rsidRPr="00037EB6" w:rsidSect="00C34E76">
      <w:footerReference w:type="default" r:id="rId24"/>
      <w:pgSz w:w="12240" w:h="15840"/>
      <w:pgMar w:top="263" w:right="787" w:bottom="545" w:left="580" w:header="432"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394" w:rsidRDefault="00F13394" w:rsidP="00CA20BD">
      <w:pPr>
        <w:spacing w:after="0" w:line="240" w:lineRule="auto"/>
      </w:pPr>
      <w:r>
        <w:separator/>
      </w:r>
    </w:p>
  </w:endnote>
  <w:endnote w:type="continuationSeparator" w:id="0">
    <w:p w:rsidR="00F13394" w:rsidRDefault="00F13394" w:rsidP="00CA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354616"/>
      <w:docPartObj>
        <w:docPartGallery w:val="Page Numbers (Bottom of Page)"/>
        <w:docPartUnique/>
      </w:docPartObj>
    </w:sdtPr>
    <w:sdtEndPr>
      <w:rPr>
        <w:color w:val="7F7F7F" w:themeColor="background1" w:themeShade="7F"/>
        <w:spacing w:val="60"/>
      </w:rPr>
    </w:sdtEndPr>
    <w:sdtContent>
      <w:p w:rsidR="00CA20BD" w:rsidRDefault="00CA20B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CA20BD" w:rsidRDefault="00CA2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394" w:rsidRDefault="00F13394" w:rsidP="00CA20BD">
      <w:pPr>
        <w:spacing w:after="0" w:line="240" w:lineRule="auto"/>
      </w:pPr>
      <w:r>
        <w:separator/>
      </w:r>
    </w:p>
  </w:footnote>
  <w:footnote w:type="continuationSeparator" w:id="0">
    <w:p w:rsidR="00F13394" w:rsidRDefault="00F13394" w:rsidP="00CA2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47EEC"/>
    <w:multiLevelType w:val="multilevel"/>
    <w:tmpl w:val="DDB0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F61CA5"/>
    <w:multiLevelType w:val="hybridMultilevel"/>
    <w:tmpl w:val="15746CE0"/>
    <w:lvl w:ilvl="0" w:tplc="5B646A40">
      <w:start w:val="1"/>
      <w:numFmt w:val="bullet"/>
      <w:lvlText w:val="•"/>
      <w:lvlJc w:val="left"/>
      <w:pPr>
        <w:ind w:left="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9CCB26">
      <w:start w:val="1"/>
      <w:numFmt w:val="bullet"/>
      <w:lvlText w:val="o"/>
      <w:lvlJc w:val="left"/>
      <w:pPr>
        <w:ind w:left="1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4C9F2">
      <w:start w:val="1"/>
      <w:numFmt w:val="bullet"/>
      <w:lvlText w:val="▪"/>
      <w:lvlJc w:val="left"/>
      <w:pPr>
        <w:ind w:left="2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2A6FDE">
      <w:start w:val="1"/>
      <w:numFmt w:val="bullet"/>
      <w:lvlText w:val="•"/>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8060E">
      <w:start w:val="1"/>
      <w:numFmt w:val="bullet"/>
      <w:lvlText w:val="o"/>
      <w:lvlJc w:val="left"/>
      <w:pPr>
        <w:ind w:left="3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FE03BA">
      <w:start w:val="1"/>
      <w:numFmt w:val="bullet"/>
      <w:lvlText w:val="▪"/>
      <w:lvlJc w:val="left"/>
      <w:pPr>
        <w:ind w:left="4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7A7E78">
      <w:start w:val="1"/>
      <w:numFmt w:val="bullet"/>
      <w:lvlText w:val="•"/>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6FD06">
      <w:start w:val="1"/>
      <w:numFmt w:val="bullet"/>
      <w:lvlText w:val="o"/>
      <w:lvlJc w:val="left"/>
      <w:pPr>
        <w:ind w:left="5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F41C9C">
      <w:start w:val="1"/>
      <w:numFmt w:val="bullet"/>
      <w:lvlText w:val="▪"/>
      <w:lvlJc w:val="left"/>
      <w:pPr>
        <w:ind w:left="6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81"/>
    <w:rsid w:val="00037EB6"/>
    <w:rsid w:val="000478DE"/>
    <w:rsid w:val="0036005E"/>
    <w:rsid w:val="003E0DB2"/>
    <w:rsid w:val="003E32D8"/>
    <w:rsid w:val="00414406"/>
    <w:rsid w:val="004E1195"/>
    <w:rsid w:val="00652A91"/>
    <w:rsid w:val="006E3E40"/>
    <w:rsid w:val="00700836"/>
    <w:rsid w:val="007F1292"/>
    <w:rsid w:val="009117FF"/>
    <w:rsid w:val="00AC3A6D"/>
    <w:rsid w:val="00B058E3"/>
    <w:rsid w:val="00C34E76"/>
    <w:rsid w:val="00C84886"/>
    <w:rsid w:val="00CA20BD"/>
    <w:rsid w:val="00DC36BD"/>
    <w:rsid w:val="00EA78E3"/>
    <w:rsid w:val="00EF7684"/>
    <w:rsid w:val="00F13394"/>
    <w:rsid w:val="00F1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9A64C"/>
  <w15:docId w15:val="{98578156-7B4D-473A-9738-830B930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0" w:lineRule="auto"/>
      <w:ind w:left="15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5"/>
      <w:outlineLvl w:val="0"/>
    </w:pPr>
    <w:rPr>
      <w:rFonts w:ascii="Calibri" w:eastAsia="Calibri" w:hAnsi="Calibri" w:cs="Calibri"/>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7"/>
    </w:rPr>
  </w:style>
  <w:style w:type="paragraph" w:styleId="Header">
    <w:name w:val="header"/>
    <w:basedOn w:val="Normal"/>
    <w:link w:val="HeaderChar"/>
    <w:uiPriority w:val="99"/>
    <w:unhideWhenUsed/>
    <w:rsid w:val="00CA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0BD"/>
    <w:rPr>
      <w:rFonts w:ascii="Calibri" w:eastAsia="Calibri" w:hAnsi="Calibri" w:cs="Calibri"/>
      <w:color w:val="000000"/>
      <w:sz w:val="24"/>
    </w:rPr>
  </w:style>
  <w:style w:type="paragraph" w:styleId="Footer">
    <w:name w:val="footer"/>
    <w:basedOn w:val="Normal"/>
    <w:link w:val="FooterChar"/>
    <w:uiPriority w:val="99"/>
    <w:unhideWhenUsed/>
    <w:rsid w:val="00CA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0B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2907">
      <w:bodyDiv w:val="1"/>
      <w:marLeft w:val="0"/>
      <w:marRight w:val="0"/>
      <w:marTop w:val="0"/>
      <w:marBottom w:val="0"/>
      <w:divBdr>
        <w:top w:val="none" w:sz="0" w:space="0" w:color="auto"/>
        <w:left w:val="none" w:sz="0" w:space="0" w:color="auto"/>
        <w:bottom w:val="none" w:sz="0" w:space="0" w:color="auto"/>
        <w:right w:val="none" w:sz="0" w:space="0" w:color="auto"/>
      </w:divBdr>
      <w:divsChild>
        <w:div w:id="39978632">
          <w:marLeft w:val="1200"/>
          <w:marRight w:val="0"/>
          <w:marTop w:val="0"/>
          <w:marBottom w:val="160"/>
          <w:divBdr>
            <w:top w:val="none" w:sz="0" w:space="0" w:color="auto"/>
            <w:left w:val="none" w:sz="0" w:space="0" w:color="auto"/>
            <w:bottom w:val="none" w:sz="0" w:space="0" w:color="auto"/>
            <w:right w:val="none" w:sz="0" w:space="0" w:color="auto"/>
          </w:divBdr>
        </w:div>
      </w:divsChild>
    </w:div>
    <w:div w:id="1168867219">
      <w:bodyDiv w:val="1"/>
      <w:marLeft w:val="0"/>
      <w:marRight w:val="0"/>
      <w:marTop w:val="0"/>
      <w:marBottom w:val="0"/>
      <w:divBdr>
        <w:top w:val="none" w:sz="0" w:space="0" w:color="auto"/>
        <w:left w:val="none" w:sz="0" w:space="0" w:color="auto"/>
        <w:bottom w:val="none" w:sz="0" w:space="0" w:color="auto"/>
        <w:right w:val="none" w:sz="0" w:space="0" w:color="auto"/>
      </w:divBdr>
      <w:divsChild>
        <w:div w:id="1236747444">
          <w:marLeft w:val="0"/>
          <w:marRight w:val="0"/>
          <w:marTop w:val="0"/>
          <w:marBottom w:val="0"/>
          <w:divBdr>
            <w:top w:val="none" w:sz="0" w:space="0" w:color="auto"/>
            <w:left w:val="none" w:sz="0" w:space="0" w:color="auto"/>
            <w:bottom w:val="none" w:sz="0" w:space="0" w:color="auto"/>
            <w:right w:val="none" w:sz="0" w:space="0" w:color="auto"/>
          </w:divBdr>
        </w:div>
        <w:div w:id="1092432471">
          <w:marLeft w:val="0"/>
          <w:marRight w:val="0"/>
          <w:marTop w:val="0"/>
          <w:marBottom w:val="0"/>
          <w:divBdr>
            <w:top w:val="none" w:sz="0" w:space="0" w:color="auto"/>
            <w:left w:val="none" w:sz="0" w:space="0" w:color="auto"/>
            <w:bottom w:val="none" w:sz="0" w:space="0" w:color="auto"/>
            <w:right w:val="none" w:sz="0" w:space="0" w:color="auto"/>
          </w:divBdr>
        </w:div>
        <w:div w:id="9569845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ubtitle-B/chapter-V/subchapter-C/part-578" TargetMode="External"/><Relationship Id="rId13" Type="http://schemas.openxmlformats.org/officeDocument/2006/relationships/hyperlink" Target="https://www.rtfhsd.org/wp-content/uploads/2025/08/YHDP-Round-Appendix-A.pdf" TargetMode="External"/><Relationship Id="rId18" Type="http://schemas.openxmlformats.org/officeDocument/2006/relationships/hyperlink" Target="https://www.rtfhsd.org/wp-content/uploads/2025/08/San-Diego-CoC-YHDP-RFP-Budget-Template-and-YHDP-Flexibilities-Tracker.xls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tfhsd.org/funding/grants-recipients/" TargetMode="External"/><Relationship Id="rId7" Type="http://schemas.openxmlformats.org/officeDocument/2006/relationships/image" Target="media/image1.png"/><Relationship Id="rId12" Type="http://schemas.openxmlformats.org/officeDocument/2006/relationships/hyperlink" Target="https://www.ecfr.gov/current/title-24/subtitle-B/chapter-V/subchapter-C/part-578" TargetMode="External"/><Relationship Id="rId17" Type="http://schemas.openxmlformats.org/officeDocument/2006/relationships/hyperlink" Target="https://www.rtfhsd.org/wp-content/uploads/2025/08/YHDP-Round-Appendix-A.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tfhsd.org/wp-content/uploads/2025/08/YHDP-Round-Appendix-A.pdf" TargetMode="External"/><Relationship Id="rId20" Type="http://schemas.openxmlformats.org/officeDocument/2006/relationships/hyperlink" Target="https://www.rtfhsd.org/wp-content/uploads/2025/08/San-Diego-CoC-YHDP-RFP-Budget-Template-and-YHDP-Flexibilities-Tracker.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4/subtitle-B/chapter-V/subchapter-C/part-57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tfhsd.org/wp-content/uploads/2025/08/YHDP-Round-Appendix-A.pdf" TargetMode="External"/><Relationship Id="rId23" Type="http://schemas.openxmlformats.org/officeDocument/2006/relationships/hyperlink" Target="https://www.rtfhsd.org/funding/grants-recipients/" TargetMode="External"/><Relationship Id="rId10" Type="http://schemas.openxmlformats.org/officeDocument/2006/relationships/hyperlink" Target="https://www.ecfr.gov/current/title-24/subtitle-B/chapter-V/subchapter-C/part-578" TargetMode="External"/><Relationship Id="rId19" Type="http://schemas.openxmlformats.org/officeDocument/2006/relationships/hyperlink" Target="https://www.rtfhsd.org/wp-content/uploads/2025/08/San-Diego-CoC-YHDP-RFP-Budget-Template-and-YHDP-Flexibilities-Tracker.xlsx" TargetMode="External"/><Relationship Id="rId4" Type="http://schemas.openxmlformats.org/officeDocument/2006/relationships/webSettings" Target="webSettings.xml"/><Relationship Id="rId9" Type="http://schemas.openxmlformats.org/officeDocument/2006/relationships/hyperlink" Target="https://www.ecfr.gov/current/title-24/subtitle-B/chapter-V/subchapter-C/part-578" TargetMode="External"/><Relationship Id="rId14" Type="http://schemas.openxmlformats.org/officeDocument/2006/relationships/hyperlink" Target="https://www.rtfhsd.org/wp-content/uploads/2025/08/YHDP-Round-Appendix-A.pdf" TargetMode="External"/><Relationship Id="rId22" Type="http://schemas.openxmlformats.org/officeDocument/2006/relationships/hyperlink" Target="https://www.rtfhsd.org/funding/grants-recip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7146</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Vasquez</dc:creator>
  <cp:keywords/>
  <cp:lastModifiedBy>Alma Vasquez</cp:lastModifiedBy>
  <cp:revision>2</cp:revision>
  <dcterms:created xsi:type="dcterms:W3CDTF">2025-08-29T15:39:00Z</dcterms:created>
  <dcterms:modified xsi:type="dcterms:W3CDTF">2025-08-29T15:39:00Z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e869e73e-fd91-4fba-b159-8945a46e73be</vt:lpwstr>
  </property>
</Properties>
</file>