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AC90" w14:textId="659DF6EA" w:rsidR="007E01A5" w:rsidRDefault="00B93182" w:rsidP="00D74F2E">
      <w:pPr>
        <w:shd w:val="clear" w:color="auto" w:fill="FFFFFF"/>
        <w:jc w:val="center"/>
        <w:rPr>
          <w:rFonts w:eastAsia="Times New Roman"/>
          <w:b/>
          <w:bCs/>
          <w:color w:val="333333"/>
          <w:sz w:val="29"/>
          <w:szCs w:val="29"/>
        </w:rPr>
      </w:pPr>
      <w:bookmarkStart w:id="0" w:name="_GoBack"/>
      <w:bookmarkEnd w:id="0"/>
      <w:r w:rsidRPr="00B16EE7">
        <w:rPr>
          <w:rFonts w:eastAsia="Times New Roman"/>
          <w:b/>
          <w:bCs/>
          <w:color w:val="333333"/>
          <w:sz w:val="29"/>
          <w:szCs w:val="29"/>
        </w:rPr>
        <w:t>Continuum of Care</w:t>
      </w:r>
    </w:p>
    <w:p w14:paraId="0F0BA3EC" w14:textId="77777777" w:rsidR="00695009" w:rsidRPr="00B16EE7" w:rsidRDefault="00695009" w:rsidP="00695009">
      <w:pPr>
        <w:shd w:val="clear" w:color="auto" w:fill="FFFFFF"/>
        <w:jc w:val="center"/>
        <w:rPr>
          <w:rFonts w:eastAsia="Times New Roman"/>
          <w:b/>
          <w:bCs/>
          <w:color w:val="333333"/>
          <w:sz w:val="29"/>
          <w:szCs w:val="29"/>
        </w:rPr>
      </w:pPr>
      <w:r>
        <w:rPr>
          <w:rFonts w:eastAsia="Times New Roman"/>
          <w:b/>
          <w:bCs/>
          <w:color w:val="333333"/>
          <w:sz w:val="29"/>
          <w:szCs w:val="29"/>
        </w:rPr>
        <w:t>COVID-19 WAIVERS</w:t>
      </w:r>
    </w:p>
    <w:p w14:paraId="78166AC9" w14:textId="77777777" w:rsidR="00695009" w:rsidRDefault="00695009" w:rsidP="00D74F2E">
      <w:pPr>
        <w:shd w:val="clear" w:color="auto" w:fill="FFFFFF"/>
        <w:jc w:val="center"/>
        <w:rPr>
          <w:rFonts w:eastAsia="Times New Roman"/>
          <w:b/>
          <w:bCs/>
          <w:color w:val="333333"/>
          <w:sz w:val="29"/>
          <w:szCs w:val="29"/>
        </w:rPr>
      </w:pPr>
    </w:p>
    <w:p w14:paraId="651BBD6D" w14:textId="29B0B9A7" w:rsidR="007E01A5" w:rsidRDefault="007E01A5" w:rsidP="00D74F2E">
      <w:pPr>
        <w:shd w:val="clear" w:color="auto" w:fill="FFFFFF"/>
        <w:jc w:val="center"/>
        <w:rPr>
          <w:rFonts w:eastAsia="Times New Roman"/>
          <w:b/>
          <w:bCs/>
          <w:color w:val="333333"/>
          <w:sz w:val="29"/>
          <w:szCs w:val="29"/>
        </w:rPr>
      </w:pPr>
      <w:r>
        <w:rPr>
          <w:rFonts w:eastAsia="Times New Roman"/>
          <w:b/>
          <w:bCs/>
          <w:color w:val="333333"/>
          <w:sz w:val="29"/>
          <w:szCs w:val="29"/>
        </w:rPr>
        <w:t xml:space="preserve">Case File </w:t>
      </w:r>
      <w:r w:rsidR="00B93182" w:rsidRPr="00B16EE7">
        <w:rPr>
          <w:rFonts w:eastAsia="Times New Roman"/>
          <w:b/>
          <w:bCs/>
          <w:color w:val="333333"/>
          <w:sz w:val="29"/>
          <w:szCs w:val="29"/>
        </w:rPr>
        <w:t>Recordkeeping</w:t>
      </w:r>
      <w:r w:rsidR="00695009">
        <w:rPr>
          <w:rFonts w:eastAsia="Times New Roman"/>
          <w:b/>
          <w:bCs/>
          <w:color w:val="333333"/>
          <w:sz w:val="29"/>
          <w:szCs w:val="29"/>
        </w:rPr>
        <w:t xml:space="preserve"> Checklist</w:t>
      </w:r>
    </w:p>
    <w:p w14:paraId="09C88844" w14:textId="77777777" w:rsidR="00B93182" w:rsidRPr="00B16EE7" w:rsidRDefault="00B93182" w:rsidP="00B93182">
      <w:pPr>
        <w:shd w:val="clear" w:color="auto" w:fill="FFFFFF"/>
        <w:rPr>
          <w:rFonts w:eastAsia="Times New Roman"/>
          <w:b/>
          <w:bCs/>
          <w:color w:val="333333"/>
          <w:sz w:val="29"/>
          <w:szCs w:val="29"/>
        </w:rPr>
      </w:pPr>
    </w:p>
    <w:p w14:paraId="6D2053F8" w14:textId="77777777" w:rsidR="00B93182" w:rsidRPr="00B16EE7" w:rsidRDefault="00B93182" w:rsidP="00B93182">
      <w:pPr>
        <w:shd w:val="clear" w:color="auto" w:fill="FFFFFF"/>
        <w:rPr>
          <w:color w:val="333333"/>
        </w:rPr>
      </w:pPr>
      <w:r w:rsidRPr="00B16EE7">
        <w:rPr>
          <w:rFonts w:eastAsia="Times New Roman"/>
          <w:bCs/>
          <w:color w:val="333333"/>
        </w:rPr>
        <w:t xml:space="preserve">In accordance with 24 CFR 578.103(a), we have established standard operating procedures that ensure that </w:t>
      </w:r>
      <w:r w:rsidRPr="00B93182">
        <w:rPr>
          <w:color w:val="333333"/>
        </w:rPr>
        <w:t xml:space="preserve">Continuum of Care program funds are used in accordance with the requirements of </w:t>
      </w:r>
      <w:r w:rsidRPr="00B16EE7">
        <w:rPr>
          <w:color w:val="333333"/>
        </w:rPr>
        <w:t xml:space="preserve">24 CFR 578 </w:t>
      </w:r>
      <w:r w:rsidRPr="00B93182">
        <w:rPr>
          <w:color w:val="333333"/>
        </w:rPr>
        <w:t xml:space="preserve">and </w:t>
      </w:r>
      <w:r w:rsidRPr="00B16EE7">
        <w:rPr>
          <w:color w:val="333333"/>
        </w:rPr>
        <w:t>that</w:t>
      </w:r>
      <w:r w:rsidRPr="00B93182">
        <w:rPr>
          <w:color w:val="333333"/>
        </w:rPr>
        <w:t xml:space="preserve"> sufficient records </w:t>
      </w:r>
      <w:r w:rsidRPr="00B16EE7">
        <w:rPr>
          <w:color w:val="333333"/>
        </w:rPr>
        <w:t>will be maintained to</w:t>
      </w:r>
      <w:r w:rsidRPr="00B93182">
        <w:rPr>
          <w:color w:val="333333"/>
        </w:rPr>
        <w:t xml:space="preserve"> enable HUD to determine whether </w:t>
      </w:r>
      <w:r w:rsidRPr="00B16EE7">
        <w:rPr>
          <w:color w:val="333333"/>
        </w:rPr>
        <w:t>we, as a Recipient or Subrecipient, are</w:t>
      </w:r>
      <w:r w:rsidRPr="00B93182">
        <w:rPr>
          <w:color w:val="333333"/>
        </w:rPr>
        <w:t xml:space="preserve"> meeting the requirements of this part</w:t>
      </w:r>
      <w:r w:rsidRPr="00B16EE7">
        <w:rPr>
          <w:color w:val="333333"/>
        </w:rPr>
        <w:t xml:space="preserve">. </w:t>
      </w:r>
    </w:p>
    <w:p w14:paraId="0C4244F0" w14:textId="77777777" w:rsidR="00B93182" w:rsidRPr="00B16EE7" w:rsidRDefault="00B93182" w:rsidP="00B93182">
      <w:pPr>
        <w:shd w:val="clear" w:color="auto" w:fill="FFFFFF"/>
        <w:rPr>
          <w:color w:val="333333"/>
        </w:rPr>
      </w:pPr>
    </w:p>
    <w:p w14:paraId="3F4C655A" w14:textId="231BC7F3" w:rsidR="00B16EE7" w:rsidRDefault="00B93182" w:rsidP="00B16EE7">
      <w:pPr>
        <w:shd w:val="clear" w:color="auto" w:fill="FFFFFF"/>
        <w:rPr>
          <w:color w:val="333333"/>
        </w:rPr>
      </w:pPr>
      <w:r w:rsidRPr="00B16EE7">
        <w:rPr>
          <w:color w:val="333333"/>
        </w:rPr>
        <w:t>As part of t</w:t>
      </w:r>
      <w:r w:rsidR="007B638E" w:rsidRPr="00B16EE7">
        <w:rPr>
          <w:color w:val="333333"/>
        </w:rPr>
        <w:t>hose policies and procedures, this</w:t>
      </w:r>
      <w:r w:rsidR="007E01A5">
        <w:rPr>
          <w:color w:val="333333"/>
        </w:rPr>
        <w:t xml:space="preserve"> CASE FILE CHECKLIST tracks the waivers used for this client household. </w:t>
      </w:r>
    </w:p>
    <w:p w14:paraId="7BD26FA5" w14:textId="77777777" w:rsidR="007E01A5" w:rsidRPr="00B16EE7" w:rsidRDefault="007E01A5" w:rsidP="00B16EE7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0A93E31A" w14:textId="71484E93" w:rsidR="00953093" w:rsidRDefault="005B750C" w:rsidP="00B16EE7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On (insert date), we informed the HUD CPD Director of our intent to implement the </w:t>
      </w:r>
      <w:r w:rsidR="00953093">
        <w:rPr>
          <w:rFonts w:eastAsia="Times New Roman"/>
          <w:b/>
          <w:bCs/>
          <w:color w:val="333333"/>
        </w:rPr>
        <w:t>waivers described below for the following CoC Projects (list applicable project names</w:t>
      </w:r>
      <w:r w:rsidR="00B96A18">
        <w:rPr>
          <w:rFonts w:eastAsia="Times New Roman"/>
          <w:b/>
          <w:bCs/>
          <w:color w:val="333333"/>
        </w:rPr>
        <w:t xml:space="preserve"> and Grant</w:t>
      </w:r>
      <w:r w:rsidR="00105DC7">
        <w:rPr>
          <w:rFonts w:eastAsia="Times New Roman"/>
          <w:b/>
          <w:bCs/>
          <w:color w:val="333333"/>
        </w:rPr>
        <w:t xml:space="preserve"> Numbers)</w:t>
      </w:r>
      <w:r>
        <w:rPr>
          <w:rFonts w:eastAsia="Times New Roman"/>
          <w:b/>
          <w:bCs/>
          <w:color w:val="333333"/>
        </w:rPr>
        <w:t>. A copy of</w:t>
      </w:r>
      <w:r w:rsidR="00953093">
        <w:rPr>
          <w:rFonts w:eastAsia="Times New Roman"/>
          <w:b/>
          <w:bCs/>
          <w:color w:val="333333"/>
        </w:rPr>
        <w:t xml:space="preserve"> that email request is attached. </w:t>
      </w:r>
    </w:p>
    <w:p w14:paraId="3FDD8985" w14:textId="77777777" w:rsidR="00953093" w:rsidRDefault="00953093" w:rsidP="00B16EE7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04B526F7" w14:textId="2039E569" w:rsidR="001F4185" w:rsidRDefault="001F4185" w:rsidP="00B16EE7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Waivers </w:t>
      </w:r>
      <w:r w:rsidR="007E01A5">
        <w:rPr>
          <w:rFonts w:eastAsia="Times New Roman"/>
          <w:b/>
          <w:bCs/>
          <w:color w:val="333333"/>
        </w:rPr>
        <w:t xml:space="preserve">USED IN THE CASE: </w:t>
      </w:r>
      <w:r w:rsidR="007E01A5" w:rsidRPr="007E01A5">
        <w:rPr>
          <w:rFonts w:eastAsia="Times New Roman"/>
          <w:bCs/>
          <w:color w:val="333333"/>
          <w:u w:val="single"/>
        </w:rPr>
        <w:t xml:space="preserve">(case </w:t>
      </w:r>
      <w:proofErr w:type="gramStart"/>
      <w:r w:rsidR="007E01A5" w:rsidRPr="007E01A5">
        <w:rPr>
          <w:rFonts w:eastAsia="Times New Roman"/>
          <w:bCs/>
          <w:color w:val="333333"/>
          <w:u w:val="single"/>
        </w:rPr>
        <w:t>id)</w:t>
      </w:r>
      <w:r w:rsidR="007E01A5">
        <w:rPr>
          <w:rFonts w:eastAsia="Times New Roman"/>
          <w:b/>
          <w:bCs/>
          <w:color w:val="333333"/>
        </w:rPr>
        <w:t>_</w:t>
      </w:r>
      <w:proofErr w:type="gramEnd"/>
      <w:r w:rsidR="007E01A5">
        <w:rPr>
          <w:rFonts w:eastAsia="Times New Roman"/>
          <w:b/>
          <w:bCs/>
          <w:color w:val="333333"/>
        </w:rPr>
        <w:t>__</w:t>
      </w:r>
      <w:r w:rsidR="009A35D1">
        <w:rPr>
          <w:rFonts w:eastAsia="Times New Roman"/>
          <w:b/>
          <w:bCs/>
          <w:color w:val="333333"/>
        </w:rPr>
        <w:t xml:space="preserve"> (select those that apply)</w:t>
      </w:r>
      <w:r w:rsidR="00953093">
        <w:rPr>
          <w:rFonts w:eastAsia="Times New Roman"/>
          <w:b/>
          <w:bCs/>
          <w:color w:val="333333"/>
        </w:rPr>
        <w:t>:</w:t>
      </w:r>
    </w:p>
    <w:p w14:paraId="290C979B" w14:textId="77777777" w:rsidR="001F4185" w:rsidRDefault="001F4185" w:rsidP="00B16EE7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41277A16" w14:textId="77777777" w:rsidR="00695009" w:rsidRDefault="00105DC7" w:rsidP="00B16EE7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To maintain administrative record</w:t>
      </w:r>
      <w:r w:rsidR="005668A2">
        <w:rPr>
          <w:rFonts w:eastAsia="Times New Roman"/>
          <w:b/>
          <w:bCs/>
          <w:color w:val="333333"/>
        </w:rPr>
        <w:t>s</w:t>
      </w:r>
      <w:r>
        <w:rPr>
          <w:rFonts w:eastAsia="Times New Roman"/>
          <w:b/>
          <w:bCs/>
          <w:color w:val="333333"/>
        </w:rPr>
        <w:t xml:space="preserve"> for the waived provisions, we will </w:t>
      </w:r>
      <w:r w:rsidR="005668A2">
        <w:rPr>
          <w:rFonts w:eastAsia="Times New Roman"/>
          <w:b/>
          <w:bCs/>
          <w:color w:val="333333"/>
        </w:rPr>
        <w:t>obtain the documentation described below, to the best of our ability</w:t>
      </w:r>
      <w:r>
        <w:rPr>
          <w:rFonts w:eastAsia="Times New Roman"/>
          <w:b/>
          <w:bCs/>
          <w:color w:val="333333"/>
        </w:rPr>
        <w:t xml:space="preserve"> given the public health emergency. </w:t>
      </w:r>
    </w:p>
    <w:p w14:paraId="2881F916" w14:textId="77777777" w:rsidR="00695009" w:rsidRDefault="00695009" w:rsidP="00B16EE7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6320DA8A" w14:textId="2283773C" w:rsidR="001F4185" w:rsidRDefault="00105DC7" w:rsidP="00B16EE7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In instances where we are unable to obtain the records outlined below, we will document all efforts taken to obtain them, which will serve as our administrative record. </w:t>
      </w:r>
    </w:p>
    <w:p w14:paraId="331BE48D" w14:textId="77777777" w:rsidR="009D4462" w:rsidRDefault="009D4462" w:rsidP="00B16EE7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22545C90" w14:textId="77777777" w:rsidR="005668A2" w:rsidRDefault="005668A2" w:rsidP="005F4FC1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(Select Those That Apply):</w:t>
      </w:r>
    </w:p>
    <w:p w14:paraId="1CFC82E8" w14:textId="6CD4AD54" w:rsidR="005668A2" w:rsidRPr="00E03CD5" w:rsidRDefault="005668A2" w:rsidP="005668A2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5383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94"/>
        <w:gridCol w:w="1777"/>
        <w:gridCol w:w="2343"/>
        <w:gridCol w:w="2400"/>
        <w:gridCol w:w="2452"/>
      </w:tblGrid>
      <w:tr w:rsidR="00695009" w:rsidRPr="00CA3513" w14:paraId="4EBB3991" w14:textId="4499CCEE" w:rsidTr="00695009">
        <w:tc>
          <w:tcPr>
            <w:tcW w:w="543" w:type="pct"/>
            <w:shd w:val="clear" w:color="auto" w:fill="FFD966" w:themeFill="accent4" w:themeFillTint="99"/>
            <w:vAlign w:val="center"/>
          </w:tcPr>
          <w:p w14:paraId="0507BBC4" w14:textId="77777777" w:rsidR="00695009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Check if </w:t>
            </w:r>
          </w:p>
          <w:p w14:paraId="0C453586" w14:textId="14BAFA57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WAIVER was APPLIED TO THIS CASE</w:t>
            </w:r>
          </w:p>
        </w:tc>
        <w:tc>
          <w:tcPr>
            <w:tcW w:w="883" w:type="pct"/>
            <w:shd w:val="clear" w:color="auto" w:fill="FFD966" w:themeFill="accent4" w:themeFillTint="99"/>
            <w:vAlign w:val="center"/>
          </w:tcPr>
          <w:p w14:paraId="5623034F" w14:textId="77777777" w:rsidR="00695009" w:rsidRPr="00CA3513" w:rsidRDefault="00695009" w:rsidP="00ED6CD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36622906"/>
            <w:r w:rsidRPr="00CA3513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164" w:type="pct"/>
            <w:shd w:val="clear" w:color="auto" w:fill="FFD966" w:themeFill="accent4" w:themeFillTint="99"/>
            <w:vAlign w:val="center"/>
          </w:tcPr>
          <w:p w14:paraId="1842DF4B" w14:textId="77777777" w:rsidR="00695009" w:rsidRPr="00CA3513" w:rsidRDefault="00695009" w:rsidP="00ED6CD1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Suggested Recipient Documentation*</w:t>
            </w:r>
          </w:p>
        </w:tc>
        <w:tc>
          <w:tcPr>
            <w:tcW w:w="1192" w:type="pct"/>
            <w:shd w:val="clear" w:color="auto" w:fill="FFD966" w:themeFill="accent4" w:themeFillTint="99"/>
            <w:vAlign w:val="center"/>
          </w:tcPr>
          <w:p w14:paraId="587D01CF" w14:textId="77777777" w:rsidR="00695009" w:rsidRPr="00CA3513" w:rsidRDefault="00695009" w:rsidP="00ED6CD1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Suggested Client Level Documentation*</w:t>
            </w:r>
          </w:p>
        </w:tc>
        <w:tc>
          <w:tcPr>
            <w:tcW w:w="1218" w:type="pct"/>
            <w:shd w:val="clear" w:color="auto" w:fill="FFD966" w:themeFill="accent4" w:themeFillTint="99"/>
          </w:tcPr>
          <w:p w14:paraId="418F4056" w14:textId="77777777" w:rsidR="00695009" w:rsidRDefault="00695009" w:rsidP="00ED6C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982E87" w14:textId="77777777" w:rsidR="00695009" w:rsidRDefault="00695009" w:rsidP="0069500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B57AC23" w14:textId="3267A0FF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695009" w:rsidRPr="00CA3513" w14:paraId="48694020" w14:textId="4D73A736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7F9C4192" w14:textId="1D27651D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288C6C56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Fair Market Rent for Individual Units and Leasing Costs</w:t>
            </w:r>
          </w:p>
          <w:p w14:paraId="2E24E11B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24 CFR 578.49(b)(2)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57DC95AF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Documentation that FMR limits are impeding grantee’s ability to find units for clients as a result of COVID-19; 2) Copy of waiver notification sent to HUD; 3) Emergency recordkeeping policies and procedures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4467425A" w14:textId="77777777" w:rsidR="00695009" w:rsidRPr="00CA3513" w:rsidRDefault="00695009" w:rsidP="00695009">
            <w:pPr>
              <w:rPr>
                <w:b/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A copy of the lease clearly displaying the date of execution; 2) a note to file noting the date of the COVID-19 Memorandum and its application to the client’s lease; 3) a completed rent reasonableness analysis.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67293B8F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Reasonableness</w:t>
            </w:r>
          </w:p>
          <w:p w14:paraId="33DED6A2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</w:t>
            </w:r>
          </w:p>
          <w:p w14:paraId="06DCDE18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4A5078F1" w14:textId="4E767404" w:rsidR="00695009" w:rsidRDefault="00F821A5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35B59">
              <w:rPr>
                <w:sz w:val="20"/>
                <w:szCs w:val="20"/>
              </w:rPr>
              <w:t>ease</w:t>
            </w:r>
            <w:r w:rsidR="00695009">
              <w:rPr>
                <w:sz w:val="20"/>
                <w:szCs w:val="20"/>
              </w:rPr>
              <w:t xml:space="preserve"> in file </w:t>
            </w:r>
            <w:r w:rsidR="00835B59">
              <w:rPr>
                <w:sz w:val="20"/>
                <w:szCs w:val="20"/>
              </w:rPr>
              <w:t xml:space="preserve">dated </w:t>
            </w:r>
            <w:r w:rsidR="00695009">
              <w:rPr>
                <w:sz w:val="20"/>
                <w:szCs w:val="20"/>
              </w:rPr>
              <w:t>between March 31 and Se</w:t>
            </w:r>
            <w:r w:rsidR="00835B59">
              <w:rPr>
                <w:sz w:val="20"/>
                <w:szCs w:val="20"/>
              </w:rPr>
              <w:t>ptember 30, 2020.</w:t>
            </w:r>
          </w:p>
          <w:p w14:paraId="08D1B276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68E29D0E" w14:textId="07BBF0B9" w:rsidR="00695009" w:rsidRPr="00CA3513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Caution: Waiver applies to the full period of the lease, beyond Sept. 30, 2020 but does not apply to annual renewal of lease in 2021.</w:t>
            </w:r>
          </w:p>
        </w:tc>
      </w:tr>
      <w:tr w:rsidR="00695009" w:rsidRPr="00CA3513" w14:paraId="07F7EACE" w14:textId="58B00524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08CDE5C4" w14:textId="0B5EC901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5DF45762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 xml:space="preserve">Disability Documentation for Permanent </w:t>
            </w:r>
            <w:r w:rsidRPr="00CA3513">
              <w:rPr>
                <w:b/>
                <w:bCs/>
                <w:sz w:val="20"/>
                <w:szCs w:val="20"/>
              </w:rPr>
              <w:lastRenderedPageBreak/>
              <w:t>Supportive Housing (PSH)</w:t>
            </w:r>
          </w:p>
          <w:p w14:paraId="01C939E0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24 CFR 578.103(a) and 24 CFR 578.103(a)(4)(i)(B)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1FBDEFBD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lastRenderedPageBreak/>
              <w:t xml:space="preserve">1) Documentation of COVID-19 related constraints preventing </w:t>
            </w:r>
            <w:r w:rsidRPr="00CA3513">
              <w:rPr>
                <w:sz w:val="20"/>
                <w:szCs w:val="20"/>
              </w:rPr>
              <w:lastRenderedPageBreak/>
              <w:t xml:space="preserve">collection of disability documentation such as shelter-in-place orders or office closures; 2) Copy of waiver notification sent to HUD; 3) Emergency recordkeeping policies and procedures 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54A2E354" w14:textId="660F0991" w:rsidR="00695009" w:rsidRPr="00CA3513" w:rsidRDefault="00695009" w:rsidP="00695009">
            <w:pPr>
              <w:rPr>
                <w:b/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lastRenderedPageBreak/>
              <w:t xml:space="preserve">1) Copies of certifications; 2) a note in the files of affected clients outlining </w:t>
            </w:r>
            <w:r w:rsidRPr="00CA3513">
              <w:rPr>
                <w:sz w:val="20"/>
                <w:szCs w:val="20"/>
              </w:rPr>
              <w:lastRenderedPageBreak/>
              <w:t>application of the waiver and compliance with the timeframe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0EB556EE" w14:textId="700CE82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Case Worker or Intake staff observation note &amp; Certification form</w:t>
            </w:r>
          </w:p>
          <w:p w14:paraId="5DD497AA" w14:textId="5A325A66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(Outreach worker information to support when applicable)</w:t>
            </w:r>
          </w:p>
          <w:p w14:paraId="3FCB3F3B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7345988A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 Certification</w:t>
            </w:r>
          </w:p>
          <w:p w14:paraId="4FF9EBBB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41D539AD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 March 31 – September 30, 2020</w:t>
            </w:r>
          </w:p>
          <w:p w14:paraId="2C128C66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73C214DC" w14:textId="5EA0E3C5" w:rsidR="00695009" w:rsidRPr="00CA3513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Certification continues past Waiver period.)</w:t>
            </w:r>
          </w:p>
        </w:tc>
      </w:tr>
      <w:tr w:rsidR="00695009" w:rsidRPr="00CA3513" w14:paraId="3304173D" w14:textId="77A73381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4CF799C8" w14:textId="4E51D912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51D3694B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Limit on Eligible Housing Search and Counseling Services</w:t>
            </w:r>
          </w:p>
          <w:p w14:paraId="367B41B5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24 CFR 578.53(e)(8)(ii)(B) and 578.53(d)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31947FF7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Emergency recordkeeping policies and procedures outlining how grantee will define “difficulty obtain[</w:t>
            </w:r>
            <w:proofErr w:type="spellStart"/>
            <w:r w:rsidRPr="00CA3513">
              <w:rPr>
                <w:sz w:val="20"/>
                <w:szCs w:val="20"/>
              </w:rPr>
              <w:t>ing</w:t>
            </w:r>
            <w:proofErr w:type="spellEnd"/>
            <w:r w:rsidRPr="00CA3513">
              <w:rPr>
                <w:sz w:val="20"/>
                <w:szCs w:val="20"/>
              </w:rPr>
              <w:t>] housing”; 2) Copy of waiver notification sent to HUD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28FDFDF3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Documentation demonstrating the client’s inability to obtain housing as a direct result of rent and utility arrears.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3BF58803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only to housing search / placement. (Pay arrears in order to access housing)  </w:t>
            </w:r>
          </w:p>
          <w:p w14:paraId="556F9C80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35D3CA4B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utility or rental arrears (bill/ notice) </w:t>
            </w:r>
          </w:p>
          <w:p w14:paraId="19047963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5BB19225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 March 31, 2020 – March 30, 2021</w:t>
            </w:r>
          </w:p>
          <w:p w14:paraId="646FD82B" w14:textId="77777777" w:rsidR="00695009" w:rsidRPr="00CA3513" w:rsidRDefault="00695009" w:rsidP="00695009">
            <w:pPr>
              <w:rPr>
                <w:sz w:val="20"/>
                <w:szCs w:val="20"/>
              </w:rPr>
            </w:pPr>
          </w:p>
        </w:tc>
      </w:tr>
      <w:tr w:rsidR="00695009" w:rsidRPr="00CA3513" w14:paraId="00D182F3" w14:textId="31C4D0A6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3EFC4F55" w14:textId="350159BD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707C575A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Permanent Housing-Rapid Re-housing Monthly Case Management</w:t>
            </w:r>
          </w:p>
          <w:p w14:paraId="6D3011FA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24 CFR 578.37(a)(1)(ii)(F)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682E8E71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Documentation of limited staff capacity, shelter-in-place order, or similar COVID-19 related impediment; 2) Copy of waiver notification sent to HUD; 3) Emergency recordkeeping policies and procedures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5D1B712C" w14:textId="77777777" w:rsidR="00695009" w:rsidRPr="00CA3513" w:rsidRDefault="00695009" w:rsidP="00695009">
            <w:pPr>
              <w:rPr>
                <w:b/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A note in the files of affected clients outlining application of the waiver.</w:t>
            </w:r>
            <w:r w:rsidRPr="00CA35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0713B653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note: Unable to provide case management.</w:t>
            </w:r>
          </w:p>
          <w:p w14:paraId="1A463AE3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668540C7" w14:textId="134DDACD" w:rsidR="00695009" w:rsidRPr="00CA3513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only for the period March 31, - May 31, 2020.  </w:t>
            </w:r>
          </w:p>
        </w:tc>
      </w:tr>
      <w:tr w:rsidR="00695009" w:rsidRPr="00CA3513" w14:paraId="6C393E09" w14:textId="2112EF48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00994F37" w14:textId="0FDC651B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1480A788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Housing Quality Standards (HQS) – Initial Physical Inspection of Unit</w:t>
            </w:r>
          </w:p>
          <w:p w14:paraId="26A7D460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24 CFR 578.75(b)(1)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0F8B2867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Emergency recordkeeping policies and procedures that outline the reinspection process; 2) Copy of waiver notification sent to HUD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6899B81E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A completed HQS inspection form noting the method of observation, date, and a reference to the waiver. 2) By the 3-month deadline, a completed on-site inspection.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0AF5B977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(Overall agency policy referenced. Copy not required in file.)</w:t>
            </w:r>
          </w:p>
          <w:p w14:paraId="0FD8B46B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078E2A77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video, photos or worker written verification of inspection with date. </w:t>
            </w:r>
          </w:p>
          <w:p w14:paraId="73FFD68B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38D67EFE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(Inspection video / photo can be provided by landlord).</w:t>
            </w:r>
          </w:p>
          <w:p w14:paraId="17D2B0B7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08D2192D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F1C8BC4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052AD5CB" w14:textId="500E8EAC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of prior inspection and overall agency policy to re-inspect.</w:t>
            </w:r>
          </w:p>
          <w:p w14:paraId="6E726097" w14:textId="77777777" w:rsidR="00695009" w:rsidRPr="00CA3513" w:rsidRDefault="00695009" w:rsidP="00695009">
            <w:pPr>
              <w:rPr>
                <w:sz w:val="20"/>
                <w:szCs w:val="20"/>
              </w:rPr>
            </w:pPr>
          </w:p>
        </w:tc>
      </w:tr>
      <w:tr w:rsidR="00695009" w:rsidRPr="00CA3513" w14:paraId="56A5B9DA" w14:textId="34F06CFA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6B0DCD69" w14:textId="151F6E30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0B8E35F3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 xml:space="preserve">HQS – Re-Inspection of Units </w:t>
            </w:r>
            <w:r w:rsidRPr="00CA3513">
              <w:rPr>
                <w:sz w:val="20"/>
                <w:szCs w:val="20"/>
              </w:rPr>
              <w:t>24 CFR 578.75(b)(2)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69B8680B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Copy of waiver notification sent to HUD; 2) Emergency recordkeeping policies and procedures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627C53BF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A note in the files of affected clients.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069190DC" w14:textId="0F453F2E" w:rsidR="00695009" w:rsidRPr="00CA3513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placement within March 31, 2020 – March 30, 2021</w:t>
            </w:r>
          </w:p>
        </w:tc>
      </w:tr>
      <w:tr w:rsidR="00695009" w:rsidRPr="00CA3513" w14:paraId="180982BD" w14:textId="196EF9D4" w:rsidTr="00695009">
        <w:tc>
          <w:tcPr>
            <w:tcW w:w="543" w:type="pct"/>
            <w:shd w:val="clear" w:color="auto" w:fill="FFF2CC" w:themeFill="accent4" w:themeFillTint="33"/>
            <w:vAlign w:val="center"/>
          </w:tcPr>
          <w:p w14:paraId="2ED7B684" w14:textId="71D2F5CF" w:rsidR="00695009" w:rsidRPr="00CA3513" w:rsidRDefault="00695009" w:rsidP="00695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14:paraId="2481A306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One-Year Lease Requirement</w:t>
            </w:r>
          </w:p>
          <w:p w14:paraId="1C57D215" w14:textId="77777777" w:rsidR="00695009" w:rsidRPr="00CA3513" w:rsidRDefault="00695009" w:rsidP="00695009">
            <w:pPr>
              <w:rPr>
                <w:b/>
                <w:bCs/>
                <w:sz w:val="20"/>
                <w:szCs w:val="20"/>
              </w:rPr>
            </w:pPr>
            <w:r w:rsidRPr="00CA3513">
              <w:rPr>
                <w:b/>
                <w:bCs/>
                <w:sz w:val="20"/>
                <w:szCs w:val="20"/>
              </w:rPr>
              <w:t>24 CFR 578.3, definition of permanent housing,</w:t>
            </w:r>
            <w:r w:rsidRPr="00CA3513">
              <w:rPr>
                <w:sz w:val="20"/>
                <w:szCs w:val="20"/>
              </w:rPr>
              <w:t xml:space="preserve"> 24 CFR 578.51(l)(1)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70232C3E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1) Documentation outlining constraints related to 1-year lease requirement; 2) Copy of waiver notification sent to HUD; 3) Emergency recordkeeping policies and procedures</w:t>
            </w:r>
          </w:p>
        </w:tc>
        <w:tc>
          <w:tcPr>
            <w:tcW w:w="1192" w:type="pct"/>
            <w:shd w:val="clear" w:color="auto" w:fill="FFF2CC" w:themeFill="accent4" w:themeFillTint="33"/>
          </w:tcPr>
          <w:p w14:paraId="106544B5" w14:textId="77777777" w:rsidR="00695009" w:rsidRPr="00CA3513" w:rsidRDefault="00695009" w:rsidP="00695009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A notation in the files of affected clients along with a copy of the lease indicating the term.</w:t>
            </w:r>
          </w:p>
        </w:tc>
        <w:tc>
          <w:tcPr>
            <w:tcW w:w="1218" w:type="pct"/>
            <w:shd w:val="clear" w:color="auto" w:fill="FFF2CC" w:themeFill="accent4" w:themeFillTint="33"/>
          </w:tcPr>
          <w:p w14:paraId="3863BD2E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note and copy of lease</w:t>
            </w:r>
          </w:p>
          <w:p w14:paraId="32EC3885" w14:textId="77777777" w:rsidR="00695009" w:rsidRDefault="00695009" w:rsidP="00695009">
            <w:pPr>
              <w:rPr>
                <w:sz w:val="20"/>
                <w:szCs w:val="20"/>
              </w:rPr>
            </w:pPr>
          </w:p>
          <w:p w14:paraId="45068EFF" w14:textId="77777777" w:rsidR="00695009" w:rsidRDefault="00695009" w:rsidP="006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between March 31 – Sept 30, 2020</w:t>
            </w:r>
          </w:p>
          <w:p w14:paraId="5172EC71" w14:textId="3529A057" w:rsidR="00695009" w:rsidRPr="00CA3513" w:rsidRDefault="00695009" w:rsidP="00695009">
            <w:pPr>
              <w:rPr>
                <w:sz w:val="20"/>
                <w:szCs w:val="20"/>
              </w:rPr>
            </w:pPr>
          </w:p>
        </w:tc>
      </w:tr>
    </w:tbl>
    <w:bookmarkEnd w:id="1"/>
    <w:p w14:paraId="7E637841" w14:textId="3CCBE18D" w:rsidR="0061063D" w:rsidRPr="00CA3513" w:rsidRDefault="00CA3513" w:rsidP="009A35D1">
      <w:pPr>
        <w:shd w:val="clear" w:color="auto" w:fill="FFFFFF"/>
        <w:rPr>
          <w:rFonts w:eastAsia="Times New Roman"/>
          <w:i/>
          <w:iCs/>
          <w:color w:val="333333"/>
          <w:sz w:val="20"/>
          <w:szCs w:val="20"/>
        </w:rPr>
      </w:pPr>
      <w:r w:rsidRPr="00CA3513">
        <w:rPr>
          <w:rFonts w:eastAsia="Times New Roman"/>
          <w:i/>
          <w:iCs/>
          <w:color w:val="333333"/>
          <w:sz w:val="20"/>
          <w:szCs w:val="20"/>
        </w:rPr>
        <w:t>*Documentation may be electronic.</w:t>
      </w:r>
    </w:p>
    <w:p w14:paraId="7498A3E7" w14:textId="77777777" w:rsidR="00CA3513" w:rsidRDefault="00CA3513" w:rsidP="009A35D1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4C54A5BE" w14:textId="462C9A92" w:rsidR="009A35D1" w:rsidRPr="00B16EE7" w:rsidRDefault="009A35D1" w:rsidP="009A35D1">
      <w:pPr>
        <w:shd w:val="clear" w:color="auto" w:fill="FFFFFF"/>
        <w:rPr>
          <w:rFonts w:eastAsia="Times New Roman"/>
          <w:b/>
          <w:bCs/>
          <w:color w:val="333333"/>
        </w:rPr>
      </w:pPr>
      <w:r w:rsidRPr="00B16EE7">
        <w:rPr>
          <w:rFonts w:eastAsia="Times New Roman"/>
          <w:b/>
          <w:bCs/>
          <w:color w:val="333333"/>
        </w:rPr>
        <w:t>Name &amp; Title of Authorizing Official:</w:t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</w:p>
    <w:p w14:paraId="66674A61" w14:textId="77777777" w:rsidR="009A35D1" w:rsidRPr="00B16EE7" w:rsidRDefault="009A35D1" w:rsidP="009A35D1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66D3FAE1" w14:textId="77777777" w:rsidR="009A35D1" w:rsidRPr="00B16EE7" w:rsidRDefault="009A35D1" w:rsidP="009A35D1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6D4C788E" w14:textId="77777777" w:rsidR="009A35D1" w:rsidRPr="00B16EE7" w:rsidRDefault="009A35D1" w:rsidP="009A35D1">
      <w:pPr>
        <w:shd w:val="clear" w:color="auto" w:fill="FFFFFF"/>
        <w:rPr>
          <w:rFonts w:eastAsia="Times New Roman"/>
          <w:b/>
          <w:bCs/>
          <w:color w:val="333333"/>
        </w:rPr>
      </w:pPr>
      <w:r w:rsidRPr="00B16EE7">
        <w:rPr>
          <w:rFonts w:eastAsia="Times New Roman"/>
          <w:b/>
          <w:bCs/>
          <w:color w:val="333333"/>
        </w:rPr>
        <w:t>Signature:</w:t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</w:r>
      <w:r w:rsidRPr="00B16EE7">
        <w:rPr>
          <w:rFonts w:eastAsia="Times New Roman"/>
          <w:b/>
          <w:bCs/>
          <w:color w:val="333333"/>
        </w:rPr>
        <w:tab/>
        <w:t>Date:</w:t>
      </w:r>
    </w:p>
    <w:p w14:paraId="021FC57D" w14:textId="77777777" w:rsidR="00B16EE7" w:rsidRDefault="00B16EE7" w:rsidP="005F4FC1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17E804D5" w14:textId="490959C9" w:rsidR="00B16EE7" w:rsidRDefault="0061063D" w:rsidP="005F4FC1">
      <w:pPr>
        <w:shd w:val="clear" w:color="auto" w:fill="FFFFFF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______________________________________</w:t>
      </w:r>
      <w:r>
        <w:rPr>
          <w:rFonts w:eastAsia="Times New Roman"/>
          <w:b/>
          <w:bCs/>
          <w:color w:val="333333"/>
        </w:rPr>
        <w:tab/>
      </w:r>
      <w:r>
        <w:rPr>
          <w:rFonts w:eastAsia="Times New Roman"/>
          <w:b/>
          <w:bCs/>
          <w:color w:val="333333"/>
        </w:rPr>
        <w:tab/>
        <w:t>____________________________</w:t>
      </w:r>
    </w:p>
    <w:p w14:paraId="3B0E309B" w14:textId="77777777" w:rsidR="00B16EE7" w:rsidRDefault="00B16EE7" w:rsidP="005F4FC1">
      <w:pPr>
        <w:shd w:val="clear" w:color="auto" w:fill="FFFFFF"/>
        <w:rPr>
          <w:rFonts w:eastAsia="Times New Roman"/>
          <w:b/>
          <w:bCs/>
          <w:color w:val="333333"/>
        </w:rPr>
      </w:pPr>
    </w:p>
    <w:p w14:paraId="5AFC309C" w14:textId="77777777" w:rsidR="001F4185" w:rsidRPr="00B16EE7" w:rsidRDefault="001F4185" w:rsidP="001F4185"/>
    <w:p w14:paraId="016A8217" w14:textId="77777777" w:rsidR="001F4185" w:rsidRPr="00B16EE7" w:rsidRDefault="001F4185">
      <w:pPr>
        <w:rPr>
          <w:b/>
        </w:rPr>
      </w:pPr>
    </w:p>
    <w:sectPr w:rsidR="001F4185" w:rsidRPr="00B16EE7" w:rsidSect="0054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2A52"/>
    <w:multiLevelType w:val="hybridMultilevel"/>
    <w:tmpl w:val="1AD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66A31"/>
    <w:multiLevelType w:val="hybridMultilevel"/>
    <w:tmpl w:val="F332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82"/>
    <w:rsid w:val="00105DC7"/>
    <w:rsid w:val="001F4185"/>
    <w:rsid w:val="00235A52"/>
    <w:rsid w:val="00285F39"/>
    <w:rsid w:val="00340D6B"/>
    <w:rsid w:val="003E33C5"/>
    <w:rsid w:val="003F3F89"/>
    <w:rsid w:val="00453F7C"/>
    <w:rsid w:val="004C6E08"/>
    <w:rsid w:val="00544A77"/>
    <w:rsid w:val="005668A2"/>
    <w:rsid w:val="005B750C"/>
    <w:rsid w:val="005F4FC1"/>
    <w:rsid w:val="0061063D"/>
    <w:rsid w:val="00694A3C"/>
    <w:rsid w:val="00695009"/>
    <w:rsid w:val="007B638E"/>
    <w:rsid w:val="007E01A5"/>
    <w:rsid w:val="007E5997"/>
    <w:rsid w:val="00835B59"/>
    <w:rsid w:val="00936AB9"/>
    <w:rsid w:val="00953093"/>
    <w:rsid w:val="009A1AB3"/>
    <w:rsid w:val="009A35D1"/>
    <w:rsid w:val="009D4462"/>
    <w:rsid w:val="00AD11A3"/>
    <w:rsid w:val="00AE22EC"/>
    <w:rsid w:val="00B16EE7"/>
    <w:rsid w:val="00B27F62"/>
    <w:rsid w:val="00B75658"/>
    <w:rsid w:val="00B93182"/>
    <w:rsid w:val="00B96A18"/>
    <w:rsid w:val="00BE1D10"/>
    <w:rsid w:val="00CA3513"/>
    <w:rsid w:val="00D74F2E"/>
    <w:rsid w:val="00E31563"/>
    <w:rsid w:val="00ED6CD1"/>
    <w:rsid w:val="00F745CA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8549"/>
  <w14:defaultImageDpi w14:val="32767"/>
  <w15:chartTrackingRefBased/>
  <w15:docId w15:val="{5AE97DD3-969C-4CA4-9059-2BD1DD0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00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B93182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B93182"/>
  </w:style>
  <w:style w:type="character" w:customStyle="1" w:styleId="et03">
    <w:name w:val="et03"/>
    <w:basedOn w:val="DefaultParagraphFont"/>
    <w:rsid w:val="00B93182"/>
  </w:style>
  <w:style w:type="character" w:styleId="Hyperlink">
    <w:name w:val="Hyperlink"/>
    <w:basedOn w:val="DefaultParagraphFont"/>
    <w:uiPriority w:val="99"/>
    <w:semiHidden/>
    <w:unhideWhenUsed/>
    <w:rsid w:val="00B9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182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1F4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FC6FD401A24DBD9844166AAA30B1" ma:contentTypeVersion="8" ma:contentTypeDescription="Create a new document." ma:contentTypeScope="" ma:versionID="94f5e97625e85f21f9921a0a9161e6c5">
  <xsd:schema xmlns:xsd="http://www.w3.org/2001/XMLSchema" xmlns:xs="http://www.w3.org/2001/XMLSchema" xmlns:p="http://schemas.microsoft.com/office/2006/metadata/properties" xmlns:ns2="c609c0e4-20ed-47c7-954d-b5976bb0f99d" xmlns:ns3="5b4020e6-bf9f-416d-aefe-8229f46335d8" targetNamespace="http://schemas.microsoft.com/office/2006/metadata/properties" ma:root="true" ma:fieldsID="11610a8235289932d8cf2ca5ba8d9af9" ns2:_="" ns3:_="">
    <xsd:import namespace="c609c0e4-20ed-47c7-954d-b5976bb0f99d"/>
    <xsd:import namespace="5b4020e6-bf9f-416d-aefe-8229f4633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9c0e4-20ed-47c7-954d-b5976bb0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20e6-bf9f-416d-aefe-8229f463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84CD-0692-46AF-9694-15496AECB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796C4-981B-4B52-8B05-BD2A57F0E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4BA2C-5D05-454D-BA78-883C77CA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9c0e4-20ed-47c7-954d-b5976bb0f99d"/>
    <ds:schemaRef ds:uri="5b4020e6-bf9f-416d-aefe-8229f463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Lally</dc:creator>
  <cp:keywords/>
  <dc:description/>
  <cp:lastModifiedBy>Aimee Cox</cp:lastModifiedBy>
  <cp:revision>2</cp:revision>
  <dcterms:created xsi:type="dcterms:W3CDTF">2020-04-27T19:49:00Z</dcterms:created>
  <dcterms:modified xsi:type="dcterms:W3CDTF">2020-04-27T19:49:00Z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0x010100AF3AFC6FD401A24DBD9844166AAA30B1</vt:lpwstr>
  </property>
</Properties>
</file>