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759" w:type="dxa"/>
        <w:tblInd w:w="-815" w:type="dxa"/>
        <w:tblLook w:val="04A0" w:firstRow="1" w:lastRow="0" w:firstColumn="1" w:lastColumn="0" w:noHBand="0" w:noVBand="1"/>
      </w:tblPr>
      <w:tblGrid>
        <w:gridCol w:w="1720"/>
        <w:gridCol w:w="1358"/>
        <w:gridCol w:w="5384"/>
        <w:gridCol w:w="6297"/>
      </w:tblGrid>
      <w:tr w:rsidR="002F1673" w:rsidTr="00351A15">
        <w:trPr>
          <w:trHeight w:val="255"/>
        </w:trPr>
        <w:tc>
          <w:tcPr>
            <w:tcW w:w="14759" w:type="dxa"/>
            <w:gridSpan w:val="4"/>
            <w:shd w:val="clear" w:color="auto" w:fill="B4C6E7" w:themeFill="accent1" w:themeFillTint="66"/>
          </w:tcPr>
          <w:p w:rsidR="002F1673" w:rsidRPr="005C47B9" w:rsidRDefault="002F1673" w:rsidP="00351A15">
            <w:pPr>
              <w:jc w:val="center"/>
              <w:rPr>
                <w:b/>
              </w:rPr>
            </w:pPr>
            <w:r w:rsidRPr="005C47B9">
              <w:rPr>
                <w:b/>
              </w:rPr>
              <w:t>HOMELESS HOUSING ASSISTANCE AND PREVENTION PROGRAM (HHAP)</w:t>
            </w:r>
          </w:p>
        </w:tc>
      </w:tr>
      <w:tr w:rsidR="002F1673" w:rsidTr="00351A15">
        <w:trPr>
          <w:trHeight w:val="1035"/>
        </w:trPr>
        <w:tc>
          <w:tcPr>
            <w:tcW w:w="1720" w:type="dxa"/>
            <w:shd w:val="clear" w:color="auto" w:fill="B4C6E7" w:themeFill="accent1" w:themeFillTint="66"/>
          </w:tcPr>
          <w:p w:rsidR="002F1673" w:rsidRPr="00E85416" w:rsidRDefault="002F1673" w:rsidP="00351A15">
            <w:pPr>
              <w:rPr>
                <w:b/>
              </w:rPr>
            </w:pPr>
            <w:r w:rsidRPr="00E85416">
              <w:rPr>
                <w:b/>
              </w:rPr>
              <w:t>PROGRAM OVERVIEW</w:t>
            </w:r>
          </w:p>
        </w:tc>
        <w:tc>
          <w:tcPr>
            <w:tcW w:w="13039" w:type="dxa"/>
            <w:gridSpan w:val="3"/>
            <w:shd w:val="clear" w:color="auto" w:fill="D9E2F3" w:themeFill="accent1" w:themeFillTint="33"/>
          </w:tcPr>
          <w:p w:rsidR="002F1673" w:rsidRDefault="002F1673" w:rsidP="002F1673">
            <w:pPr>
              <w:pStyle w:val="ListParagraph"/>
              <w:numPr>
                <w:ilvl w:val="0"/>
                <w:numId w:val="1"/>
              </w:numPr>
              <w:ind w:left="360"/>
            </w:pPr>
            <w:r>
              <w:t>One-time block grant established in 2019-20 State of California Budget</w:t>
            </w:r>
          </w:p>
          <w:p w:rsidR="002F1673" w:rsidRDefault="002F1673" w:rsidP="002F1673">
            <w:pPr>
              <w:pStyle w:val="ListParagraph"/>
              <w:numPr>
                <w:ilvl w:val="0"/>
                <w:numId w:val="1"/>
              </w:numPr>
              <w:ind w:left="360"/>
            </w:pPr>
            <w:r>
              <w:t>Provides local jurisdictions with funds to support regional coordination and expand or develop local capacity to address their immediate homelessness challenges</w:t>
            </w:r>
          </w:p>
          <w:p w:rsidR="002F1673" w:rsidRDefault="002F1673" w:rsidP="002F1673">
            <w:pPr>
              <w:pStyle w:val="ListParagraph"/>
              <w:numPr>
                <w:ilvl w:val="0"/>
                <w:numId w:val="1"/>
              </w:numPr>
              <w:ind w:left="360"/>
            </w:pPr>
            <w:r>
              <w:t xml:space="preserve">Additional guidance can be found on the Homeless Coordinating and Financing Council </w:t>
            </w:r>
            <w:hyperlink r:id="rId5" w:history="1">
              <w:r w:rsidRPr="00B90906">
                <w:rPr>
                  <w:rStyle w:val="Hyperlink"/>
                </w:rPr>
                <w:t>website</w:t>
              </w:r>
            </w:hyperlink>
          </w:p>
        </w:tc>
      </w:tr>
      <w:tr w:rsidR="002F1673" w:rsidTr="00351A15">
        <w:trPr>
          <w:trHeight w:val="794"/>
        </w:trPr>
        <w:tc>
          <w:tcPr>
            <w:tcW w:w="1720" w:type="dxa"/>
            <w:shd w:val="clear" w:color="auto" w:fill="B4C6E7" w:themeFill="accent1" w:themeFillTint="66"/>
          </w:tcPr>
          <w:p w:rsidR="002F1673" w:rsidRPr="00E85416" w:rsidRDefault="002F1673" w:rsidP="00351A15">
            <w:pPr>
              <w:rPr>
                <w:b/>
              </w:rPr>
            </w:pPr>
            <w:r w:rsidRPr="00E85416">
              <w:rPr>
                <w:b/>
              </w:rPr>
              <w:t>ELIGIBILE APPLICANTS</w:t>
            </w:r>
          </w:p>
        </w:tc>
        <w:tc>
          <w:tcPr>
            <w:tcW w:w="13039" w:type="dxa"/>
            <w:gridSpan w:val="3"/>
            <w:shd w:val="clear" w:color="auto" w:fill="D9E2F3" w:themeFill="accent1" w:themeFillTint="33"/>
          </w:tcPr>
          <w:p w:rsidR="002F1673" w:rsidRDefault="002F1673" w:rsidP="002F1673">
            <w:pPr>
              <w:pStyle w:val="ListParagraph"/>
              <w:numPr>
                <w:ilvl w:val="0"/>
                <w:numId w:val="2"/>
              </w:numPr>
              <w:ind w:left="360"/>
            </w:pPr>
            <w:r>
              <w:t>44 Continuums of Care</w:t>
            </w:r>
          </w:p>
          <w:p w:rsidR="002F1673" w:rsidRDefault="002F1673" w:rsidP="002F1673">
            <w:pPr>
              <w:pStyle w:val="ListParagraph"/>
              <w:numPr>
                <w:ilvl w:val="0"/>
                <w:numId w:val="2"/>
              </w:numPr>
              <w:ind w:left="360"/>
            </w:pPr>
            <w:r>
              <w:t>13 Largest Cities, with populations of 300,000 or more (as of January 2019)</w:t>
            </w:r>
          </w:p>
          <w:p w:rsidR="002F1673" w:rsidRDefault="002F1673" w:rsidP="002F1673">
            <w:pPr>
              <w:pStyle w:val="ListParagraph"/>
              <w:numPr>
                <w:ilvl w:val="0"/>
                <w:numId w:val="2"/>
              </w:numPr>
              <w:ind w:left="360"/>
            </w:pPr>
            <w:r>
              <w:t>58 Counties</w:t>
            </w:r>
          </w:p>
        </w:tc>
      </w:tr>
      <w:tr w:rsidR="002F1673" w:rsidTr="00351A15">
        <w:trPr>
          <w:trHeight w:val="1829"/>
        </w:trPr>
        <w:tc>
          <w:tcPr>
            <w:tcW w:w="1720" w:type="dxa"/>
            <w:shd w:val="clear" w:color="auto" w:fill="B4C6E7" w:themeFill="accent1" w:themeFillTint="66"/>
          </w:tcPr>
          <w:p w:rsidR="002F1673" w:rsidRPr="00E85416" w:rsidRDefault="002F1673" w:rsidP="00351A15">
            <w:pPr>
              <w:rPr>
                <w:b/>
              </w:rPr>
            </w:pPr>
            <w:r w:rsidRPr="00E85416">
              <w:rPr>
                <w:b/>
              </w:rPr>
              <w:t>KEY FUNDING REQUIREMENTS</w:t>
            </w:r>
          </w:p>
        </w:tc>
        <w:tc>
          <w:tcPr>
            <w:tcW w:w="13039" w:type="dxa"/>
            <w:gridSpan w:val="3"/>
            <w:shd w:val="clear" w:color="auto" w:fill="D9E2F3" w:themeFill="accent1" w:themeFillTint="33"/>
          </w:tcPr>
          <w:p w:rsidR="002F1673" w:rsidRDefault="002F1673" w:rsidP="002F1673">
            <w:pPr>
              <w:pStyle w:val="ListParagraph"/>
              <w:numPr>
                <w:ilvl w:val="0"/>
                <w:numId w:val="4"/>
              </w:numPr>
              <w:ind w:left="360"/>
            </w:pPr>
            <w:r>
              <w:t>Applicants must demonstrate how they have coordinated with other jurisdictions to identify their share of the regional need to address homelessness, and how the requested funds will help meet the jurisdiction’s share of that need</w:t>
            </w:r>
          </w:p>
          <w:p w:rsidR="002F1673" w:rsidRDefault="002F1673" w:rsidP="002F1673">
            <w:pPr>
              <w:pStyle w:val="ListParagraph"/>
              <w:numPr>
                <w:ilvl w:val="0"/>
                <w:numId w:val="4"/>
              </w:numPr>
              <w:ind w:left="360"/>
            </w:pPr>
            <w:r>
              <w:t>At least 8% of the allocation MUST be used to establish or expand programs to meet the needs of youth experiencing homelessness</w:t>
            </w:r>
          </w:p>
          <w:p w:rsidR="002F1673" w:rsidRDefault="002F1673" w:rsidP="002F1673">
            <w:pPr>
              <w:pStyle w:val="ListParagraph"/>
              <w:numPr>
                <w:ilvl w:val="0"/>
                <w:numId w:val="4"/>
              </w:numPr>
              <w:ind w:left="360"/>
            </w:pPr>
            <w:r>
              <w:t>Does not require a crisis shelter declaration to be a direct recipient of HHAP funds</w:t>
            </w:r>
          </w:p>
          <w:p w:rsidR="002F1673" w:rsidRDefault="002F1673" w:rsidP="002F1673">
            <w:pPr>
              <w:pStyle w:val="ListParagraph"/>
              <w:numPr>
                <w:ilvl w:val="0"/>
                <w:numId w:val="4"/>
              </w:numPr>
              <w:ind w:left="360"/>
            </w:pPr>
            <w:r>
              <w:t>Eligible applicants to determine how to expend funds</w:t>
            </w:r>
          </w:p>
          <w:p w:rsidR="002F1673" w:rsidRDefault="002F1673" w:rsidP="002F1673">
            <w:pPr>
              <w:pStyle w:val="ListParagraph"/>
              <w:numPr>
                <w:ilvl w:val="0"/>
                <w:numId w:val="4"/>
              </w:numPr>
              <w:ind w:left="360"/>
            </w:pPr>
            <w:r>
              <w:t>All state-funded programs providing housing or housing-based services to people experiencing homelessness to incorporate the core components of Housing First as enumerated in Welfare and Institutions Code Section 8255.</w:t>
            </w:r>
          </w:p>
        </w:tc>
      </w:tr>
      <w:tr w:rsidR="002F1673" w:rsidTr="00351A15">
        <w:trPr>
          <w:trHeight w:val="1772"/>
        </w:trPr>
        <w:tc>
          <w:tcPr>
            <w:tcW w:w="1720" w:type="dxa"/>
            <w:shd w:val="clear" w:color="auto" w:fill="B4C6E7" w:themeFill="accent1" w:themeFillTint="66"/>
          </w:tcPr>
          <w:p w:rsidR="002F1673" w:rsidRPr="00E85416" w:rsidRDefault="002F1673" w:rsidP="00351A15">
            <w:pPr>
              <w:rPr>
                <w:b/>
              </w:rPr>
            </w:pPr>
            <w:r w:rsidRPr="00E85416">
              <w:rPr>
                <w:b/>
              </w:rPr>
              <w:t>ELIGIBLE USES</w:t>
            </w:r>
          </w:p>
        </w:tc>
        <w:tc>
          <w:tcPr>
            <w:tcW w:w="13039" w:type="dxa"/>
            <w:gridSpan w:val="3"/>
            <w:shd w:val="clear" w:color="auto" w:fill="D9E2F3" w:themeFill="accent1" w:themeFillTint="33"/>
          </w:tcPr>
          <w:p w:rsidR="002F1673" w:rsidRDefault="002F1673" w:rsidP="00351A15">
            <w:r>
              <w:t>Rental assistance and rapid rehousing; • Operating subsidies in new and existing affordable or supportive housing units, emergency shelters, and navigation centers. Operating subsidies may include operating reserves; • Incentives to landlords, including, but not limited to, security deposits and holding fees; • Outreach and coordination, which may include access to job programs, to assist vulnerable populations in accessing permanent housing and to promote housing stability in supportive housing; • Systems support for activities necessary to create regional partnerships and maintain a homeless services and housing delivery system particularly for vulnerable populations including families and homeless youth; • Delivery of permanent housing and innovative housing solutions such as hotel and motel conversions; • Prevention and shelter diversion to permanent housing; and • New navigation centers and emergency shelters based on demonstrated need.</w:t>
            </w:r>
          </w:p>
        </w:tc>
      </w:tr>
      <w:tr w:rsidR="002F1673" w:rsidTr="00351A15">
        <w:trPr>
          <w:trHeight w:val="203"/>
        </w:trPr>
        <w:tc>
          <w:tcPr>
            <w:tcW w:w="1720" w:type="dxa"/>
            <w:vMerge w:val="restart"/>
            <w:shd w:val="clear" w:color="auto" w:fill="B4C6E7" w:themeFill="accent1" w:themeFillTint="66"/>
          </w:tcPr>
          <w:p w:rsidR="002F1673" w:rsidRPr="00E85416" w:rsidRDefault="002F1673" w:rsidP="00351A15">
            <w:pPr>
              <w:rPr>
                <w:b/>
              </w:rPr>
            </w:pPr>
            <w:r w:rsidRPr="00E85416">
              <w:rPr>
                <w:b/>
              </w:rPr>
              <w:t>FUNDING ALLOCATION</w:t>
            </w:r>
          </w:p>
        </w:tc>
        <w:tc>
          <w:tcPr>
            <w:tcW w:w="6742" w:type="dxa"/>
            <w:gridSpan w:val="2"/>
            <w:shd w:val="clear" w:color="auto" w:fill="D9E2F3" w:themeFill="accent1" w:themeFillTint="33"/>
          </w:tcPr>
          <w:p w:rsidR="002F1673" w:rsidRDefault="002F1673" w:rsidP="00351A15">
            <w:r>
              <w:t xml:space="preserve">San Diego City and County Continuum of Care (RTFH):  </w:t>
            </w:r>
          </w:p>
        </w:tc>
        <w:tc>
          <w:tcPr>
            <w:tcW w:w="6297" w:type="dxa"/>
            <w:shd w:val="clear" w:color="auto" w:fill="D9E2F3" w:themeFill="accent1" w:themeFillTint="33"/>
          </w:tcPr>
          <w:p w:rsidR="002F1673" w:rsidRDefault="002F1673" w:rsidP="00351A15">
            <w:r w:rsidRPr="00CF55C5">
              <w:rPr>
                <w:rFonts w:cs="Calibri"/>
                <w:bCs/>
              </w:rPr>
              <w:t>$10,790,528.04</w:t>
            </w:r>
          </w:p>
        </w:tc>
      </w:tr>
      <w:tr w:rsidR="002F1673" w:rsidTr="00351A15">
        <w:trPr>
          <w:trHeight w:val="245"/>
        </w:trPr>
        <w:tc>
          <w:tcPr>
            <w:tcW w:w="1720" w:type="dxa"/>
            <w:vMerge/>
            <w:shd w:val="clear" w:color="auto" w:fill="B4C6E7" w:themeFill="accent1" w:themeFillTint="66"/>
          </w:tcPr>
          <w:p w:rsidR="002F1673" w:rsidRDefault="002F1673" w:rsidP="00351A15"/>
        </w:tc>
        <w:tc>
          <w:tcPr>
            <w:tcW w:w="6742" w:type="dxa"/>
            <w:gridSpan w:val="2"/>
            <w:shd w:val="clear" w:color="auto" w:fill="D9E2F3" w:themeFill="accent1" w:themeFillTint="33"/>
          </w:tcPr>
          <w:p w:rsidR="002F1673" w:rsidRDefault="002F1673" w:rsidP="00351A15">
            <w:r>
              <w:t>City of San Diego:</w:t>
            </w:r>
          </w:p>
        </w:tc>
        <w:tc>
          <w:tcPr>
            <w:tcW w:w="6297" w:type="dxa"/>
            <w:shd w:val="clear" w:color="auto" w:fill="D9E2F3" w:themeFill="accent1" w:themeFillTint="33"/>
          </w:tcPr>
          <w:p w:rsidR="002F1673" w:rsidRDefault="002F1673" w:rsidP="00351A15">
            <w:r>
              <w:t>$22,491,840.12</w:t>
            </w:r>
          </w:p>
        </w:tc>
      </w:tr>
      <w:tr w:rsidR="002F1673" w:rsidTr="00351A15">
        <w:trPr>
          <w:trHeight w:val="228"/>
        </w:trPr>
        <w:tc>
          <w:tcPr>
            <w:tcW w:w="1720" w:type="dxa"/>
            <w:vMerge/>
            <w:shd w:val="clear" w:color="auto" w:fill="B4C6E7" w:themeFill="accent1" w:themeFillTint="66"/>
          </w:tcPr>
          <w:p w:rsidR="002F1673" w:rsidRDefault="002F1673" w:rsidP="00351A15"/>
        </w:tc>
        <w:tc>
          <w:tcPr>
            <w:tcW w:w="6742" w:type="dxa"/>
            <w:gridSpan w:val="2"/>
            <w:shd w:val="clear" w:color="auto" w:fill="D9E2F3" w:themeFill="accent1" w:themeFillTint="33"/>
          </w:tcPr>
          <w:p w:rsidR="002F1673" w:rsidRDefault="002F1673" w:rsidP="00351A15">
            <w:r>
              <w:t>San Diego County:</w:t>
            </w:r>
          </w:p>
        </w:tc>
        <w:tc>
          <w:tcPr>
            <w:tcW w:w="6297" w:type="dxa"/>
            <w:shd w:val="clear" w:color="auto" w:fill="D9E2F3" w:themeFill="accent1" w:themeFillTint="33"/>
          </w:tcPr>
          <w:p w:rsidR="002F1673" w:rsidRDefault="002F1673" w:rsidP="00351A15">
            <w:r>
              <w:t>$ 9,996,652.14</w:t>
            </w:r>
          </w:p>
        </w:tc>
      </w:tr>
      <w:tr w:rsidR="002F1673" w:rsidTr="00351A15">
        <w:trPr>
          <w:trHeight w:val="228"/>
        </w:trPr>
        <w:tc>
          <w:tcPr>
            <w:tcW w:w="1720" w:type="dxa"/>
            <w:shd w:val="clear" w:color="auto" w:fill="B4C6E7" w:themeFill="accent1" w:themeFillTint="66"/>
          </w:tcPr>
          <w:p w:rsidR="002F1673" w:rsidRDefault="002F1673" w:rsidP="00351A15">
            <w:pPr>
              <w:rPr>
                <w:b/>
              </w:rPr>
            </w:pPr>
            <w:r w:rsidRPr="00E85416">
              <w:rPr>
                <w:b/>
              </w:rPr>
              <w:t>G</w:t>
            </w:r>
            <w:r>
              <w:rPr>
                <w:b/>
              </w:rPr>
              <w:t>RANT STATUS</w:t>
            </w:r>
          </w:p>
          <w:p w:rsidR="002F1673" w:rsidRDefault="002F1673" w:rsidP="00351A15">
            <w:r w:rsidRPr="00292CFC">
              <w:rPr>
                <w:sz w:val="18"/>
              </w:rPr>
              <w:t>Updated 6/11/2020</w:t>
            </w:r>
          </w:p>
        </w:tc>
        <w:tc>
          <w:tcPr>
            <w:tcW w:w="13039" w:type="dxa"/>
            <w:gridSpan w:val="3"/>
            <w:shd w:val="clear" w:color="auto" w:fill="D9E2F3" w:themeFill="accent1" w:themeFillTint="33"/>
          </w:tcPr>
          <w:p w:rsidR="002F1673" w:rsidRDefault="002F1673" w:rsidP="002F1673">
            <w:pPr>
              <w:pStyle w:val="ListParagraph"/>
              <w:numPr>
                <w:ilvl w:val="0"/>
                <w:numId w:val="9"/>
              </w:numPr>
            </w:pPr>
            <w:r>
              <w:t>RTFH HHAP allocation was disbursed and mailed by HCFC on June 5, 2020. At the time of this document, RTFH had not received the disbursement.</w:t>
            </w:r>
          </w:p>
        </w:tc>
      </w:tr>
      <w:tr w:rsidR="002F1673" w:rsidTr="00351A15">
        <w:trPr>
          <w:trHeight w:val="228"/>
        </w:trPr>
        <w:tc>
          <w:tcPr>
            <w:tcW w:w="1720" w:type="dxa"/>
            <w:shd w:val="clear" w:color="auto" w:fill="B4C6E7" w:themeFill="accent1" w:themeFillTint="66"/>
          </w:tcPr>
          <w:p w:rsidR="002F1673" w:rsidRPr="00E85416" w:rsidRDefault="002F1673" w:rsidP="00351A15">
            <w:pPr>
              <w:rPr>
                <w:b/>
              </w:rPr>
            </w:pPr>
            <w:r>
              <w:rPr>
                <w:b/>
              </w:rPr>
              <w:t>COVID-19 RESPONSE</w:t>
            </w:r>
          </w:p>
        </w:tc>
        <w:tc>
          <w:tcPr>
            <w:tcW w:w="13039" w:type="dxa"/>
            <w:gridSpan w:val="3"/>
            <w:shd w:val="clear" w:color="auto" w:fill="D9E2F3" w:themeFill="accent1" w:themeFillTint="33"/>
          </w:tcPr>
          <w:p w:rsidR="002F1673" w:rsidRDefault="002F1673" w:rsidP="002F1673">
            <w:pPr>
              <w:pStyle w:val="ListParagraph"/>
              <w:numPr>
                <w:ilvl w:val="0"/>
                <w:numId w:val="8"/>
              </w:numPr>
            </w:pPr>
            <w:r>
              <w:t xml:space="preserve">The State of California has allowed flexibility to allow grantees to use HHAP funds to address COVID-19 needs, however, eligible uses, ineligible uses, expenditure requirements, and statutory requirements must still be adhered to. </w:t>
            </w:r>
          </w:p>
          <w:p w:rsidR="002F1673" w:rsidRPr="0074324C" w:rsidRDefault="002F1673" w:rsidP="002F1673">
            <w:pPr>
              <w:pStyle w:val="ListParagraph"/>
              <w:numPr>
                <w:ilvl w:val="0"/>
                <w:numId w:val="8"/>
              </w:numPr>
            </w:pPr>
            <w:r w:rsidRPr="0074324C">
              <w:t>HHAP requires regional coordination across the three funded entities.</w:t>
            </w:r>
          </w:p>
          <w:p w:rsidR="002F1673" w:rsidRDefault="002F1673" w:rsidP="002F1673">
            <w:pPr>
              <w:pStyle w:val="ListParagraph"/>
              <w:numPr>
                <w:ilvl w:val="0"/>
                <w:numId w:val="8"/>
              </w:numPr>
            </w:pPr>
            <w:r>
              <w:t>RTFH and the City of San Diego have not determined funding priorities at this time.  The County of San Diego prioritized funds for youth up to the age of 24.</w:t>
            </w:r>
          </w:p>
          <w:p w:rsidR="002F1673" w:rsidRDefault="002F1673" w:rsidP="00351A15">
            <w:pPr>
              <w:pStyle w:val="ListParagraph"/>
              <w:ind w:left="360"/>
            </w:pPr>
          </w:p>
        </w:tc>
      </w:tr>
      <w:tr w:rsidR="002F1673" w:rsidTr="00351A15">
        <w:trPr>
          <w:trHeight w:val="255"/>
        </w:trPr>
        <w:tc>
          <w:tcPr>
            <w:tcW w:w="14759" w:type="dxa"/>
            <w:gridSpan w:val="4"/>
            <w:shd w:val="clear" w:color="auto" w:fill="B4C6E7" w:themeFill="accent1" w:themeFillTint="66"/>
          </w:tcPr>
          <w:p w:rsidR="002F1673" w:rsidRPr="00B90906" w:rsidRDefault="002F1673" w:rsidP="00351A15">
            <w:pPr>
              <w:jc w:val="center"/>
              <w:rPr>
                <w:b/>
              </w:rPr>
            </w:pPr>
            <w:bookmarkStart w:id="0" w:name="_GoBack"/>
            <w:bookmarkEnd w:id="0"/>
            <w:r w:rsidRPr="00B90906">
              <w:rPr>
                <w:b/>
              </w:rPr>
              <w:lastRenderedPageBreak/>
              <w:t>COVID-19 EMERGENCY FUNDS</w:t>
            </w:r>
          </w:p>
        </w:tc>
      </w:tr>
      <w:tr w:rsidR="002F1673" w:rsidTr="00351A15">
        <w:trPr>
          <w:trHeight w:val="1020"/>
        </w:trPr>
        <w:tc>
          <w:tcPr>
            <w:tcW w:w="3078" w:type="dxa"/>
            <w:gridSpan w:val="2"/>
            <w:shd w:val="clear" w:color="auto" w:fill="B4C6E7" w:themeFill="accent1" w:themeFillTint="66"/>
          </w:tcPr>
          <w:p w:rsidR="002F1673" w:rsidRPr="00E85416" w:rsidRDefault="002F1673" w:rsidP="00351A15">
            <w:pPr>
              <w:rPr>
                <w:b/>
              </w:rPr>
            </w:pPr>
            <w:r w:rsidRPr="00E85416">
              <w:rPr>
                <w:b/>
              </w:rPr>
              <w:t>PROGRAM OVERVIEW</w:t>
            </w:r>
          </w:p>
        </w:tc>
        <w:tc>
          <w:tcPr>
            <w:tcW w:w="11681" w:type="dxa"/>
            <w:gridSpan w:val="2"/>
            <w:shd w:val="clear" w:color="auto" w:fill="D9E2F3" w:themeFill="accent1" w:themeFillTint="33"/>
          </w:tcPr>
          <w:p w:rsidR="002F1673" w:rsidRDefault="002F1673" w:rsidP="002F1673">
            <w:pPr>
              <w:pStyle w:val="ListParagraph"/>
              <w:numPr>
                <w:ilvl w:val="0"/>
                <w:numId w:val="3"/>
              </w:numPr>
              <w:ind w:left="360"/>
            </w:pPr>
            <w:bookmarkStart w:id="1" w:name="_Hlk37793754"/>
            <w:r>
              <w:t>$100 million one-time funding was allocated to local governments to help protect homeless Californians and reduce the spread of COVID-19 by safely getting individuals into shelter and providing immediate housing options</w:t>
            </w:r>
            <w:bookmarkStart w:id="2" w:name="_Hlk37793670"/>
            <w:r>
              <w:t xml:space="preserve">. Governor’s Announcement of funding can be found </w:t>
            </w:r>
            <w:hyperlink r:id="rId6" w:history="1">
              <w:r w:rsidRPr="005317B2">
                <w:rPr>
                  <w:rStyle w:val="Hyperlink"/>
                </w:rPr>
                <w:t>here</w:t>
              </w:r>
            </w:hyperlink>
          </w:p>
          <w:p w:rsidR="002F1673" w:rsidRDefault="002F1673" w:rsidP="002F1673">
            <w:pPr>
              <w:pStyle w:val="ListParagraph"/>
              <w:numPr>
                <w:ilvl w:val="0"/>
                <w:numId w:val="3"/>
              </w:numPr>
              <w:ind w:left="360"/>
            </w:pPr>
            <w:bookmarkStart w:id="3" w:name="_Hlk37794026"/>
            <w:bookmarkEnd w:id="1"/>
            <w:r>
              <w:t xml:space="preserve">Additional guidance can be found on the Homeless Coordinating and Financing Council </w:t>
            </w:r>
            <w:hyperlink r:id="rId7" w:history="1">
              <w:r w:rsidRPr="00655EDA">
                <w:rPr>
                  <w:rStyle w:val="Hyperlink"/>
                </w:rPr>
                <w:t>website</w:t>
              </w:r>
            </w:hyperlink>
            <w:bookmarkEnd w:id="2"/>
            <w:bookmarkEnd w:id="3"/>
          </w:p>
        </w:tc>
      </w:tr>
      <w:tr w:rsidR="002F1673" w:rsidTr="00351A15">
        <w:trPr>
          <w:trHeight w:val="794"/>
        </w:trPr>
        <w:tc>
          <w:tcPr>
            <w:tcW w:w="3078" w:type="dxa"/>
            <w:gridSpan w:val="2"/>
            <w:shd w:val="clear" w:color="auto" w:fill="B4C6E7" w:themeFill="accent1" w:themeFillTint="66"/>
          </w:tcPr>
          <w:p w:rsidR="002F1673" w:rsidRPr="00E85416" w:rsidRDefault="002F1673" w:rsidP="00351A15">
            <w:pPr>
              <w:rPr>
                <w:b/>
              </w:rPr>
            </w:pPr>
            <w:r w:rsidRPr="00E85416">
              <w:rPr>
                <w:b/>
              </w:rPr>
              <w:t>ELIGIBILE APPLICANTS</w:t>
            </w:r>
          </w:p>
        </w:tc>
        <w:tc>
          <w:tcPr>
            <w:tcW w:w="11681" w:type="dxa"/>
            <w:gridSpan w:val="2"/>
            <w:shd w:val="clear" w:color="auto" w:fill="D9E2F3" w:themeFill="accent1" w:themeFillTint="33"/>
          </w:tcPr>
          <w:p w:rsidR="002F1673" w:rsidRDefault="002F1673" w:rsidP="002F1673">
            <w:pPr>
              <w:pStyle w:val="ListParagraph"/>
              <w:numPr>
                <w:ilvl w:val="0"/>
                <w:numId w:val="5"/>
              </w:numPr>
            </w:pPr>
            <w:r>
              <w:t>44 Continuums of Care</w:t>
            </w:r>
          </w:p>
          <w:p w:rsidR="002F1673" w:rsidRDefault="002F1673" w:rsidP="002F1673">
            <w:pPr>
              <w:pStyle w:val="ListParagraph"/>
              <w:numPr>
                <w:ilvl w:val="0"/>
                <w:numId w:val="5"/>
              </w:numPr>
            </w:pPr>
            <w:r>
              <w:t>13 Largest Cities, with populations of 300,000 or more (as of January 2019)</w:t>
            </w:r>
          </w:p>
          <w:p w:rsidR="002F1673" w:rsidRDefault="002F1673" w:rsidP="002F1673">
            <w:pPr>
              <w:pStyle w:val="ListParagraph"/>
              <w:numPr>
                <w:ilvl w:val="0"/>
                <w:numId w:val="5"/>
              </w:numPr>
            </w:pPr>
            <w:r>
              <w:t>58 Counties</w:t>
            </w:r>
          </w:p>
        </w:tc>
      </w:tr>
      <w:tr w:rsidR="002F1673" w:rsidTr="00351A15">
        <w:trPr>
          <w:trHeight w:val="1829"/>
        </w:trPr>
        <w:tc>
          <w:tcPr>
            <w:tcW w:w="3078" w:type="dxa"/>
            <w:gridSpan w:val="2"/>
            <w:shd w:val="clear" w:color="auto" w:fill="B4C6E7" w:themeFill="accent1" w:themeFillTint="66"/>
          </w:tcPr>
          <w:p w:rsidR="002F1673" w:rsidRPr="00E85416" w:rsidRDefault="002F1673" w:rsidP="00351A15">
            <w:pPr>
              <w:rPr>
                <w:b/>
              </w:rPr>
            </w:pPr>
            <w:r w:rsidRPr="00E85416">
              <w:rPr>
                <w:b/>
              </w:rPr>
              <w:t>KEY FUNDING REQUIREMENTS</w:t>
            </w:r>
          </w:p>
        </w:tc>
        <w:tc>
          <w:tcPr>
            <w:tcW w:w="11681" w:type="dxa"/>
            <w:gridSpan w:val="2"/>
            <w:shd w:val="clear" w:color="auto" w:fill="D9E2F3" w:themeFill="accent1" w:themeFillTint="33"/>
          </w:tcPr>
          <w:p w:rsidR="002F1673" w:rsidRDefault="002F1673" w:rsidP="002F1673">
            <w:pPr>
              <w:pStyle w:val="ListParagraph"/>
              <w:numPr>
                <w:ilvl w:val="0"/>
                <w:numId w:val="7"/>
              </w:numPr>
              <w:ind w:left="360"/>
            </w:pPr>
            <w:r>
              <w:t xml:space="preserve">COVID-19 Emergency Homeless Funding may not be used to pay for administrative costs. </w:t>
            </w:r>
          </w:p>
          <w:p w:rsidR="002F1673" w:rsidRDefault="002F1673" w:rsidP="002F1673">
            <w:pPr>
              <w:pStyle w:val="ListParagraph"/>
              <w:numPr>
                <w:ilvl w:val="0"/>
                <w:numId w:val="7"/>
              </w:numPr>
              <w:ind w:left="360"/>
            </w:pPr>
            <w:r>
              <w:t xml:space="preserve">These are true emergency funds that are intended to be spent entirely on COVID-19-related relief </w:t>
            </w:r>
          </w:p>
          <w:p w:rsidR="002F1673" w:rsidRDefault="002F1673" w:rsidP="002F1673">
            <w:pPr>
              <w:pStyle w:val="ListParagraph"/>
              <w:numPr>
                <w:ilvl w:val="0"/>
                <w:numId w:val="7"/>
              </w:numPr>
              <w:ind w:left="360"/>
            </w:pPr>
            <w:r>
              <w:t>Grantees are encouraged to leverage their existing programs and administrative capacity to push these dollars towards the most impactful services currently available.</w:t>
            </w:r>
          </w:p>
          <w:p w:rsidR="002F1673" w:rsidRDefault="002F1673" w:rsidP="002F1673">
            <w:pPr>
              <w:pStyle w:val="ListParagraph"/>
              <w:numPr>
                <w:ilvl w:val="0"/>
                <w:numId w:val="7"/>
              </w:numPr>
              <w:ind w:left="360"/>
            </w:pPr>
            <w:r>
              <w:t>All state-funded programs providing housing or housing-based services to people experiencing homelessness to incorporate the core components of Housing First as enumerated in Welfare and Institutions Code Section 8255.</w:t>
            </w:r>
          </w:p>
          <w:p w:rsidR="002F1673" w:rsidRDefault="002F1673" w:rsidP="002F1673">
            <w:pPr>
              <w:pStyle w:val="ListParagraph"/>
              <w:numPr>
                <w:ilvl w:val="0"/>
                <w:numId w:val="7"/>
              </w:numPr>
              <w:ind w:left="360"/>
            </w:pPr>
            <w:r>
              <w:t>Funds must be encumbered by June 30, 2020 and fully expended by June 30, 2022.</w:t>
            </w:r>
          </w:p>
        </w:tc>
      </w:tr>
      <w:tr w:rsidR="002F1673" w:rsidTr="00351A15">
        <w:trPr>
          <w:trHeight w:val="2850"/>
        </w:trPr>
        <w:tc>
          <w:tcPr>
            <w:tcW w:w="3078" w:type="dxa"/>
            <w:gridSpan w:val="2"/>
            <w:shd w:val="clear" w:color="auto" w:fill="B4C6E7" w:themeFill="accent1" w:themeFillTint="66"/>
          </w:tcPr>
          <w:p w:rsidR="002F1673" w:rsidRPr="00E85416" w:rsidRDefault="002F1673" w:rsidP="00351A15">
            <w:pPr>
              <w:rPr>
                <w:b/>
              </w:rPr>
            </w:pPr>
            <w:r w:rsidRPr="00E85416">
              <w:rPr>
                <w:b/>
              </w:rPr>
              <w:t>ELIGIBLE USES</w:t>
            </w:r>
          </w:p>
        </w:tc>
        <w:tc>
          <w:tcPr>
            <w:tcW w:w="11681" w:type="dxa"/>
            <w:gridSpan w:val="2"/>
            <w:shd w:val="clear" w:color="auto" w:fill="D9E2F3" w:themeFill="accent1" w:themeFillTint="33"/>
          </w:tcPr>
          <w:p w:rsidR="002F1673" w:rsidRDefault="002F1673" w:rsidP="00351A15">
            <w:r>
              <w:t xml:space="preserve">Suggested uses include but are not limited to: </w:t>
            </w:r>
          </w:p>
          <w:p w:rsidR="002F1673" w:rsidRDefault="002F1673" w:rsidP="002F1673">
            <w:pPr>
              <w:pStyle w:val="ListParagraph"/>
              <w:numPr>
                <w:ilvl w:val="0"/>
                <w:numId w:val="6"/>
              </w:numPr>
              <w:ind w:left="360"/>
            </w:pPr>
            <w:r>
              <w:t>Isolation Capacity – support for the acquisition/lease of hotels, motels, trailers, and other alternative isolation placements.</w:t>
            </w:r>
          </w:p>
          <w:p w:rsidR="002F1673" w:rsidRDefault="002F1673" w:rsidP="002F1673">
            <w:pPr>
              <w:pStyle w:val="ListParagraph"/>
              <w:numPr>
                <w:ilvl w:val="0"/>
                <w:numId w:val="6"/>
              </w:numPr>
              <w:ind w:left="360"/>
            </w:pPr>
            <w:r>
              <w:t>Emergency Shelter Operations – furnishings, medically-indicated services and supplies, and equipment needed to maintain a sanitary shelter environment for clients and staff</w:t>
            </w:r>
          </w:p>
          <w:p w:rsidR="002F1673" w:rsidRDefault="002F1673" w:rsidP="002F1673">
            <w:pPr>
              <w:pStyle w:val="ListParagraph"/>
              <w:numPr>
                <w:ilvl w:val="0"/>
                <w:numId w:val="6"/>
              </w:numPr>
              <w:ind w:left="360"/>
            </w:pPr>
            <w:r>
              <w:t>Shelter Capacity – support for increasing shelter capacity and the acquisition of new shelters</w:t>
            </w:r>
          </w:p>
          <w:p w:rsidR="002F1673" w:rsidRDefault="002F1673" w:rsidP="002F1673">
            <w:pPr>
              <w:pStyle w:val="ListParagraph"/>
              <w:numPr>
                <w:ilvl w:val="0"/>
                <w:numId w:val="6"/>
              </w:numPr>
              <w:ind w:left="360"/>
            </w:pPr>
            <w:r>
              <w:t>Street Outreach – supplies and equipment needed to protect staff engaging with unsheltered from COVID-19 and to meet the urgent physical needs of people experiencing homelessness</w:t>
            </w:r>
          </w:p>
          <w:p w:rsidR="002F1673" w:rsidRDefault="002F1673" w:rsidP="002F1673">
            <w:pPr>
              <w:pStyle w:val="ListParagraph"/>
              <w:numPr>
                <w:ilvl w:val="0"/>
                <w:numId w:val="6"/>
              </w:numPr>
              <w:ind w:left="360"/>
            </w:pPr>
            <w:r>
              <w:t>Transportation – support for the transportation of those experiencing homelessness to and from shelters and medical care</w:t>
            </w:r>
          </w:p>
          <w:p w:rsidR="002F1673" w:rsidRDefault="002F1673" w:rsidP="002F1673">
            <w:pPr>
              <w:pStyle w:val="ListParagraph"/>
              <w:numPr>
                <w:ilvl w:val="0"/>
                <w:numId w:val="6"/>
              </w:numPr>
              <w:ind w:left="360"/>
            </w:pPr>
            <w:r>
              <w:t>Staffing – support for additional staff for infectious disease preparedness and case management for clients.</w:t>
            </w:r>
          </w:p>
        </w:tc>
      </w:tr>
      <w:tr w:rsidR="002F1673" w:rsidTr="00351A15">
        <w:trPr>
          <w:trHeight w:val="212"/>
        </w:trPr>
        <w:tc>
          <w:tcPr>
            <w:tcW w:w="3078" w:type="dxa"/>
            <w:gridSpan w:val="2"/>
            <w:vMerge w:val="restart"/>
            <w:shd w:val="clear" w:color="auto" w:fill="B4C6E7" w:themeFill="accent1" w:themeFillTint="66"/>
          </w:tcPr>
          <w:p w:rsidR="002F1673" w:rsidRPr="00E85416" w:rsidRDefault="002F1673" w:rsidP="00351A15">
            <w:pPr>
              <w:rPr>
                <w:b/>
              </w:rPr>
            </w:pPr>
            <w:r w:rsidRPr="00E85416">
              <w:rPr>
                <w:b/>
              </w:rPr>
              <w:t>FUNDING ALLOCATION</w:t>
            </w:r>
          </w:p>
        </w:tc>
        <w:tc>
          <w:tcPr>
            <w:tcW w:w="5384" w:type="dxa"/>
            <w:shd w:val="clear" w:color="auto" w:fill="D9E2F3" w:themeFill="accent1" w:themeFillTint="33"/>
          </w:tcPr>
          <w:p w:rsidR="002F1673" w:rsidRPr="004A2D11" w:rsidRDefault="002F1673" w:rsidP="00351A15">
            <w:pPr>
              <w:rPr>
                <w:b/>
              </w:rPr>
            </w:pPr>
            <w:r w:rsidRPr="004A2D11">
              <w:rPr>
                <w:b/>
              </w:rPr>
              <w:t xml:space="preserve">San Diego City and County Continuum of Care (RTFH):  </w:t>
            </w:r>
          </w:p>
        </w:tc>
        <w:tc>
          <w:tcPr>
            <w:tcW w:w="6297" w:type="dxa"/>
            <w:shd w:val="clear" w:color="auto" w:fill="D9E2F3" w:themeFill="accent1" w:themeFillTint="33"/>
          </w:tcPr>
          <w:p w:rsidR="002F1673" w:rsidRDefault="002F1673" w:rsidP="00351A15">
            <w:r w:rsidRPr="00CF55C5">
              <w:rPr>
                <w:rFonts w:cs="Calibri"/>
                <w:bCs/>
              </w:rPr>
              <w:t>$ 1,785,116.45</w:t>
            </w:r>
          </w:p>
        </w:tc>
      </w:tr>
      <w:tr w:rsidR="002F1673" w:rsidTr="00351A15">
        <w:trPr>
          <w:trHeight w:val="212"/>
        </w:trPr>
        <w:tc>
          <w:tcPr>
            <w:tcW w:w="3078" w:type="dxa"/>
            <w:gridSpan w:val="2"/>
            <w:vMerge/>
            <w:shd w:val="clear" w:color="auto" w:fill="B4C6E7" w:themeFill="accent1" w:themeFillTint="66"/>
          </w:tcPr>
          <w:p w:rsidR="002F1673" w:rsidRPr="00E85416" w:rsidRDefault="002F1673" w:rsidP="00351A15">
            <w:pPr>
              <w:rPr>
                <w:b/>
              </w:rPr>
            </w:pPr>
          </w:p>
        </w:tc>
        <w:tc>
          <w:tcPr>
            <w:tcW w:w="5384" w:type="dxa"/>
            <w:shd w:val="clear" w:color="auto" w:fill="D9E2F3" w:themeFill="accent1" w:themeFillTint="33"/>
          </w:tcPr>
          <w:p w:rsidR="002F1673" w:rsidRPr="004A2D11" w:rsidRDefault="002F1673" w:rsidP="00351A15">
            <w:pPr>
              <w:rPr>
                <w:b/>
              </w:rPr>
            </w:pPr>
            <w:r w:rsidRPr="004A2D11">
              <w:rPr>
                <w:b/>
              </w:rPr>
              <w:t>City of San Diego:</w:t>
            </w:r>
          </w:p>
        </w:tc>
        <w:tc>
          <w:tcPr>
            <w:tcW w:w="6297" w:type="dxa"/>
            <w:shd w:val="clear" w:color="auto" w:fill="D9E2F3" w:themeFill="accent1" w:themeFillTint="33"/>
          </w:tcPr>
          <w:p w:rsidR="002F1673" w:rsidRDefault="002F1673" w:rsidP="00351A15">
            <w:r>
              <w:t>$ 3,699,315.81</w:t>
            </w:r>
          </w:p>
        </w:tc>
      </w:tr>
      <w:tr w:rsidR="002F1673" w:rsidTr="00351A15">
        <w:trPr>
          <w:trHeight w:val="212"/>
        </w:trPr>
        <w:tc>
          <w:tcPr>
            <w:tcW w:w="3078" w:type="dxa"/>
            <w:gridSpan w:val="2"/>
            <w:vMerge/>
            <w:shd w:val="clear" w:color="auto" w:fill="B4C6E7" w:themeFill="accent1" w:themeFillTint="66"/>
          </w:tcPr>
          <w:p w:rsidR="002F1673" w:rsidRPr="00E85416" w:rsidRDefault="002F1673" w:rsidP="00351A15">
            <w:pPr>
              <w:rPr>
                <w:b/>
              </w:rPr>
            </w:pPr>
          </w:p>
        </w:tc>
        <w:tc>
          <w:tcPr>
            <w:tcW w:w="5384" w:type="dxa"/>
            <w:shd w:val="clear" w:color="auto" w:fill="D9E2F3" w:themeFill="accent1" w:themeFillTint="33"/>
          </w:tcPr>
          <w:p w:rsidR="002F1673" w:rsidRPr="004A2D11" w:rsidRDefault="002F1673" w:rsidP="00351A15">
            <w:pPr>
              <w:rPr>
                <w:b/>
              </w:rPr>
            </w:pPr>
            <w:r w:rsidRPr="004A2D11">
              <w:rPr>
                <w:b/>
              </w:rPr>
              <w:t>San Diego County:</w:t>
            </w:r>
          </w:p>
        </w:tc>
        <w:tc>
          <w:tcPr>
            <w:tcW w:w="6297" w:type="dxa"/>
            <w:shd w:val="clear" w:color="auto" w:fill="D9E2F3" w:themeFill="accent1" w:themeFillTint="33"/>
          </w:tcPr>
          <w:p w:rsidR="002F1673" w:rsidRDefault="002F1673" w:rsidP="00351A15">
            <w:r>
              <w:t>$ 1,642,354.84</w:t>
            </w:r>
          </w:p>
        </w:tc>
      </w:tr>
      <w:tr w:rsidR="002F1673" w:rsidTr="00351A15">
        <w:trPr>
          <w:trHeight w:val="212"/>
        </w:trPr>
        <w:tc>
          <w:tcPr>
            <w:tcW w:w="3078" w:type="dxa"/>
            <w:gridSpan w:val="2"/>
            <w:shd w:val="clear" w:color="auto" w:fill="B4C6E7" w:themeFill="accent1" w:themeFillTint="66"/>
          </w:tcPr>
          <w:p w:rsidR="002F1673" w:rsidRDefault="002F1673" w:rsidP="00351A15">
            <w:pPr>
              <w:rPr>
                <w:b/>
              </w:rPr>
            </w:pPr>
            <w:r w:rsidRPr="00E85416">
              <w:rPr>
                <w:b/>
              </w:rPr>
              <w:t>G</w:t>
            </w:r>
            <w:r>
              <w:rPr>
                <w:b/>
              </w:rPr>
              <w:t>RANT STATUS-</w:t>
            </w:r>
          </w:p>
          <w:p w:rsidR="002F1673" w:rsidRPr="00292CFC" w:rsidRDefault="002F1673" w:rsidP="00351A15">
            <w:r w:rsidRPr="00292CFC">
              <w:rPr>
                <w:sz w:val="18"/>
              </w:rPr>
              <w:t>Updated 6/11/20</w:t>
            </w:r>
          </w:p>
        </w:tc>
        <w:tc>
          <w:tcPr>
            <w:tcW w:w="11681" w:type="dxa"/>
            <w:gridSpan w:val="2"/>
            <w:shd w:val="clear" w:color="auto" w:fill="D9E2F3" w:themeFill="accent1" w:themeFillTint="33"/>
          </w:tcPr>
          <w:p w:rsidR="002F1673" w:rsidRDefault="002F1673" w:rsidP="002F1673">
            <w:pPr>
              <w:pStyle w:val="ListParagraph"/>
              <w:numPr>
                <w:ilvl w:val="0"/>
                <w:numId w:val="10"/>
              </w:numPr>
            </w:pPr>
            <w:r>
              <w:t>RTFH COVID-19 allocation was disbursed by HCFC on April 21, 2020 and received by RTFH.</w:t>
            </w:r>
          </w:p>
        </w:tc>
      </w:tr>
      <w:tr w:rsidR="002F1673" w:rsidTr="00351A15">
        <w:trPr>
          <w:trHeight w:val="212"/>
        </w:trPr>
        <w:tc>
          <w:tcPr>
            <w:tcW w:w="3078" w:type="dxa"/>
            <w:gridSpan w:val="2"/>
            <w:shd w:val="clear" w:color="auto" w:fill="B4C6E7" w:themeFill="accent1" w:themeFillTint="66"/>
          </w:tcPr>
          <w:p w:rsidR="002F1673" w:rsidRPr="00E85416" w:rsidRDefault="002F1673" w:rsidP="00351A15">
            <w:pPr>
              <w:rPr>
                <w:b/>
              </w:rPr>
            </w:pPr>
            <w:r>
              <w:rPr>
                <w:b/>
              </w:rPr>
              <w:t>COVID-19 RESPONSE</w:t>
            </w:r>
          </w:p>
        </w:tc>
        <w:tc>
          <w:tcPr>
            <w:tcW w:w="11681" w:type="dxa"/>
            <w:gridSpan w:val="2"/>
            <w:shd w:val="clear" w:color="auto" w:fill="D9E2F3" w:themeFill="accent1" w:themeFillTint="33"/>
          </w:tcPr>
          <w:p w:rsidR="002F1673" w:rsidRDefault="002F1673" w:rsidP="002F1673">
            <w:pPr>
              <w:pStyle w:val="ListParagraph"/>
              <w:numPr>
                <w:ilvl w:val="0"/>
                <w:numId w:val="11"/>
              </w:numPr>
            </w:pPr>
            <w:r>
              <w:t>The City of San Diego, the San Diego County, and RTFH have committed 100% of COVID-19 Emergency Funds to support the social distancing efforts at the Convention Center.</w:t>
            </w:r>
          </w:p>
        </w:tc>
      </w:tr>
    </w:tbl>
    <w:p w:rsidR="00E937D6" w:rsidRDefault="00E937D6"/>
    <w:sectPr w:rsidR="00E937D6" w:rsidSect="002F167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92AF3"/>
    <w:multiLevelType w:val="hybridMultilevel"/>
    <w:tmpl w:val="C0B42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6B3469"/>
    <w:multiLevelType w:val="hybridMultilevel"/>
    <w:tmpl w:val="AC7805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140384"/>
    <w:multiLevelType w:val="hybridMultilevel"/>
    <w:tmpl w:val="15301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097539"/>
    <w:multiLevelType w:val="hybridMultilevel"/>
    <w:tmpl w:val="ADECE8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A2B0C86"/>
    <w:multiLevelType w:val="hybridMultilevel"/>
    <w:tmpl w:val="59185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E7786F"/>
    <w:multiLevelType w:val="hybridMultilevel"/>
    <w:tmpl w:val="FBFE0D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A63775B"/>
    <w:multiLevelType w:val="hybridMultilevel"/>
    <w:tmpl w:val="832A5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4A0E55"/>
    <w:multiLevelType w:val="hybridMultilevel"/>
    <w:tmpl w:val="FCB07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2C7E42"/>
    <w:multiLevelType w:val="hybridMultilevel"/>
    <w:tmpl w:val="D7A6B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F113DC"/>
    <w:multiLevelType w:val="hybridMultilevel"/>
    <w:tmpl w:val="15DABE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AAB3D85"/>
    <w:multiLevelType w:val="hybridMultilevel"/>
    <w:tmpl w:val="B37C37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7"/>
  </w:num>
  <w:num w:numId="3">
    <w:abstractNumId w:val="6"/>
  </w:num>
  <w:num w:numId="4">
    <w:abstractNumId w:val="8"/>
  </w:num>
  <w:num w:numId="5">
    <w:abstractNumId w:val="10"/>
  </w:num>
  <w:num w:numId="6">
    <w:abstractNumId w:val="0"/>
  </w:num>
  <w:num w:numId="7">
    <w:abstractNumId w:val="4"/>
  </w:num>
  <w:num w:numId="8">
    <w:abstractNumId w:val="1"/>
  </w:num>
  <w:num w:numId="9">
    <w:abstractNumId w:val="5"/>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673"/>
    <w:rsid w:val="002F1673"/>
    <w:rsid w:val="00E93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CFC70D-9687-47BA-BFB7-70AEE49AC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16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1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1673"/>
    <w:pPr>
      <w:ind w:left="720"/>
      <w:contextualSpacing/>
    </w:pPr>
  </w:style>
  <w:style w:type="character" w:styleId="Hyperlink">
    <w:name w:val="Hyperlink"/>
    <w:basedOn w:val="DefaultParagraphFont"/>
    <w:uiPriority w:val="99"/>
    <w:unhideWhenUsed/>
    <w:rsid w:val="002F16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csh.ca.gov/hcfc/documents/covid19_funding_faq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ca.gov/2020/03/18/governor-newsom-takes-emergency-actions-authorizes-150-million-in-funding-to-protect-homeless-californians-from-covid-19/" TargetMode="External"/><Relationship Id="rId5" Type="http://schemas.openxmlformats.org/officeDocument/2006/relationships/hyperlink" Target="https://www.bcsh.ca.gov/hcfc/hhap_program.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884</Words>
  <Characters>5041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Stemrich</dc:creator>
  <cp:keywords/>
  <dc:description/>
  <cp:lastModifiedBy>Carrie Stemrich</cp:lastModifiedBy>
  <cp:revision>1</cp:revision>
  <dcterms:created xsi:type="dcterms:W3CDTF">2020-10-27T15:25:00Z</dcterms:created>
  <dcterms:modified xsi:type="dcterms:W3CDTF">2020-10-27T15:28:00Z</dcterms:modified>
</cp:coreProperties>
</file>