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4310" w14:textId="77777777" w:rsidR="006F4634" w:rsidRPr="00812E7B" w:rsidRDefault="00B207A7" w:rsidP="00B207A7">
      <w:pPr>
        <w:tabs>
          <w:tab w:val="left" w:pos="7575"/>
        </w:tabs>
        <w:rPr>
          <w:sz w:val="24"/>
          <w:szCs w:val="24"/>
        </w:rPr>
      </w:pPr>
      <w:r w:rsidRPr="00812E7B">
        <w:rPr>
          <w:sz w:val="24"/>
          <w:szCs w:val="24"/>
        </w:rPr>
        <w:tab/>
      </w:r>
    </w:p>
    <w:p w14:paraId="5C97A3EA" w14:textId="38DE5041" w:rsidR="00903487" w:rsidRPr="00812E7B" w:rsidRDefault="00197AE6" w:rsidP="00903487">
      <w:pPr>
        <w:pStyle w:val="Heading1"/>
        <w:spacing w:before="0"/>
        <w:jc w:val="center"/>
        <w:rPr>
          <w:rFonts w:eastAsia="Times New Roman"/>
          <w:sz w:val="24"/>
          <w:szCs w:val="24"/>
        </w:rPr>
      </w:pPr>
      <w:r w:rsidRPr="00812E7B">
        <w:rPr>
          <w:rFonts w:eastAsia="Times New Roman"/>
          <w:sz w:val="24"/>
          <w:szCs w:val="24"/>
        </w:rPr>
        <w:t>2021</w:t>
      </w:r>
      <w:r w:rsidR="00885D7D" w:rsidRPr="00812E7B">
        <w:rPr>
          <w:rFonts w:eastAsia="Times New Roman"/>
          <w:sz w:val="24"/>
          <w:szCs w:val="24"/>
        </w:rPr>
        <w:t xml:space="preserve"> CoC Program Competition</w:t>
      </w:r>
    </w:p>
    <w:p w14:paraId="57831CE5" w14:textId="43B99745" w:rsidR="00885D7D" w:rsidRPr="00812E7B" w:rsidRDefault="00885D7D" w:rsidP="00885D7D">
      <w:pPr>
        <w:jc w:val="center"/>
        <w:rPr>
          <w:rFonts w:asciiTheme="majorHAnsi" w:hAnsiTheme="majorHAnsi"/>
          <w:b/>
          <w:color w:val="1F497D" w:themeColor="text2"/>
          <w:sz w:val="24"/>
          <w:szCs w:val="24"/>
        </w:rPr>
      </w:pPr>
      <w:r w:rsidRPr="00812E7B">
        <w:rPr>
          <w:rFonts w:asciiTheme="majorHAnsi" w:hAnsiTheme="majorHAnsi"/>
          <w:b/>
          <w:color w:val="1F497D" w:themeColor="text2"/>
          <w:sz w:val="24"/>
          <w:szCs w:val="24"/>
        </w:rPr>
        <w:t>Notice of Funding Opportunity (NOFO)</w:t>
      </w:r>
    </w:p>
    <w:p w14:paraId="40781F73" w14:textId="77777777" w:rsidR="00903487" w:rsidRDefault="00903487" w:rsidP="00903487">
      <w:pPr>
        <w:pStyle w:val="Heading1"/>
        <w:spacing w:before="0"/>
        <w:jc w:val="center"/>
      </w:pPr>
      <w:r w:rsidRPr="00812E7B">
        <w:rPr>
          <w:rFonts w:eastAsia="Times New Roman"/>
          <w:sz w:val="24"/>
          <w:szCs w:val="24"/>
        </w:rPr>
        <w:t>Summary for San Diego</w:t>
      </w:r>
      <w:r>
        <w:rPr>
          <w:rFonts w:eastAsia="Times New Roman"/>
        </w:rPr>
        <w:t xml:space="preserve"> </w:t>
      </w:r>
      <w:r>
        <w:rPr>
          <w:rStyle w:val="FootnoteReference"/>
        </w:rPr>
        <w:footnoteReference w:id="1"/>
      </w:r>
    </w:p>
    <w:p w14:paraId="5B5B57A4" w14:textId="77777777" w:rsidR="00903487" w:rsidRDefault="00903487" w:rsidP="00903487">
      <w:pPr>
        <w:pStyle w:val="BodyText"/>
        <w:spacing w:before="0" w:line="259" w:lineRule="auto"/>
        <w:ind w:left="100" w:right="129"/>
        <w:rPr>
          <w:sz w:val="22"/>
          <w:szCs w:val="22"/>
        </w:rPr>
      </w:pPr>
      <w:bookmarkStart w:id="0" w:name="_GoBack"/>
      <w:bookmarkEnd w:id="0"/>
    </w:p>
    <w:p w14:paraId="5A3E18C0" w14:textId="77777777" w:rsidR="00903487" w:rsidRPr="00903487" w:rsidRDefault="00903487" w:rsidP="00903487">
      <w:pPr>
        <w:pStyle w:val="Heading2"/>
        <w:rPr>
          <w:sz w:val="24"/>
          <w:szCs w:val="24"/>
        </w:rPr>
      </w:pPr>
      <w:r w:rsidRPr="00903487">
        <w:rPr>
          <w:sz w:val="24"/>
          <w:szCs w:val="24"/>
        </w:rPr>
        <w:t>Introduction</w:t>
      </w:r>
    </w:p>
    <w:p w14:paraId="1B48665A" w14:textId="0B7BC20E" w:rsidR="00903487" w:rsidRPr="00481283" w:rsidRDefault="00903487" w:rsidP="00903487">
      <w:pPr>
        <w:pStyle w:val="BodyText"/>
        <w:spacing w:before="0" w:line="259" w:lineRule="auto"/>
        <w:ind w:left="100" w:right="129"/>
        <w:rPr>
          <w:sz w:val="22"/>
          <w:szCs w:val="22"/>
        </w:rPr>
      </w:pPr>
      <w:r>
        <w:rPr>
          <w:sz w:val="22"/>
          <w:szCs w:val="22"/>
        </w:rPr>
        <w:t xml:space="preserve">The </w:t>
      </w:r>
      <w:r w:rsidRPr="00481283">
        <w:rPr>
          <w:sz w:val="22"/>
          <w:szCs w:val="22"/>
        </w:rPr>
        <w:t>U.S. Department of Housing and Urban Development (HU</w:t>
      </w:r>
      <w:r w:rsidR="00885D7D">
        <w:rPr>
          <w:sz w:val="22"/>
          <w:szCs w:val="22"/>
        </w:rPr>
        <w:t xml:space="preserve">D), CoC Program Competition Notice of Funding Opportunity (NOFO) </w:t>
      </w:r>
      <w:r w:rsidRPr="00481283">
        <w:rPr>
          <w:sz w:val="22"/>
          <w:szCs w:val="22"/>
        </w:rPr>
        <w:t xml:space="preserve">for </w:t>
      </w:r>
      <w:r w:rsidR="00885D7D">
        <w:rPr>
          <w:sz w:val="22"/>
          <w:szCs w:val="22"/>
        </w:rPr>
        <w:t>2021 was released on August 18, 2021</w:t>
      </w:r>
      <w:r w:rsidR="00B40903">
        <w:rPr>
          <w:sz w:val="22"/>
          <w:szCs w:val="22"/>
        </w:rPr>
        <w:t xml:space="preserve">. </w:t>
      </w:r>
      <w:r w:rsidRPr="00481283">
        <w:rPr>
          <w:sz w:val="22"/>
          <w:szCs w:val="22"/>
        </w:rPr>
        <w:t xml:space="preserve"> This document provides a summary of critical</w:t>
      </w:r>
      <w:r w:rsidR="007F2672">
        <w:rPr>
          <w:sz w:val="22"/>
          <w:szCs w:val="22"/>
        </w:rPr>
        <w:t xml:space="preserve"> information and hig</w:t>
      </w:r>
      <w:r w:rsidR="00F41FB6">
        <w:rPr>
          <w:sz w:val="22"/>
          <w:szCs w:val="22"/>
        </w:rPr>
        <w:t>h</w:t>
      </w:r>
      <w:r w:rsidR="007F2672">
        <w:rPr>
          <w:sz w:val="22"/>
          <w:szCs w:val="22"/>
        </w:rPr>
        <w:t>lights</w:t>
      </w:r>
      <w:r w:rsidRPr="00481283">
        <w:rPr>
          <w:sz w:val="22"/>
          <w:szCs w:val="22"/>
        </w:rPr>
        <w:t xml:space="preserve"> describing the major changes for this year. </w:t>
      </w:r>
    </w:p>
    <w:p w14:paraId="438B540D" w14:textId="77777777" w:rsidR="00903487" w:rsidRPr="00481283" w:rsidRDefault="00903487" w:rsidP="00903487">
      <w:pPr>
        <w:pStyle w:val="BodyText"/>
        <w:spacing w:before="0" w:line="259" w:lineRule="auto"/>
        <w:ind w:left="100" w:right="129"/>
        <w:rPr>
          <w:sz w:val="22"/>
          <w:szCs w:val="22"/>
        </w:rPr>
      </w:pPr>
    </w:p>
    <w:p w14:paraId="532449E4" w14:textId="08E9ECA2" w:rsidR="00903487" w:rsidRPr="00481283" w:rsidRDefault="00142470" w:rsidP="00903487">
      <w:pPr>
        <w:pStyle w:val="BodyText"/>
        <w:spacing w:before="0" w:line="259" w:lineRule="auto"/>
        <w:ind w:left="100" w:right="129"/>
        <w:rPr>
          <w:sz w:val="22"/>
          <w:szCs w:val="22"/>
        </w:rPr>
      </w:pPr>
      <w:r>
        <w:rPr>
          <w:sz w:val="22"/>
          <w:szCs w:val="22"/>
        </w:rPr>
        <w:t xml:space="preserve">HUD identified </w:t>
      </w:r>
      <w:r w:rsidR="00903487" w:rsidRPr="00481283">
        <w:rPr>
          <w:sz w:val="22"/>
          <w:szCs w:val="22"/>
        </w:rPr>
        <w:t>high-level c</w:t>
      </w:r>
      <w:r w:rsidR="00903487">
        <w:rPr>
          <w:sz w:val="22"/>
          <w:szCs w:val="22"/>
        </w:rPr>
        <w:t xml:space="preserve">hanges </w:t>
      </w:r>
      <w:r>
        <w:rPr>
          <w:sz w:val="22"/>
          <w:szCs w:val="22"/>
        </w:rPr>
        <w:t>and new information since the 2019 competition.</w:t>
      </w:r>
      <w:r w:rsidR="00903487">
        <w:rPr>
          <w:sz w:val="22"/>
          <w:szCs w:val="22"/>
        </w:rPr>
        <w:t xml:space="preserve">  </w:t>
      </w:r>
      <w:r w:rsidR="00903487" w:rsidRPr="00481283">
        <w:rPr>
          <w:sz w:val="22"/>
          <w:szCs w:val="22"/>
        </w:rPr>
        <w:t>Other c</w:t>
      </w:r>
      <w:r w:rsidR="00903487">
        <w:rPr>
          <w:sz w:val="22"/>
          <w:szCs w:val="22"/>
        </w:rPr>
        <w:t xml:space="preserve">ritical information or </w:t>
      </w:r>
      <w:r w:rsidR="00903487" w:rsidRPr="00481283">
        <w:rPr>
          <w:sz w:val="22"/>
          <w:szCs w:val="22"/>
        </w:rPr>
        <w:t>ac</w:t>
      </w:r>
      <w:r w:rsidR="00C00DA6">
        <w:rPr>
          <w:sz w:val="22"/>
          <w:szCs w:val="22"/>
        </w:rPr>
        <w:t>tions required by the local</w:t>
      </w:r>
      <w:r w:rsidR="00903487" w:rsidRPr="00481283">
        <w:rPr>
          <w:sz w:val="22"/>
          <w:szCs w:val="22"/>
        </w:rPr>
        <w:t xml:space="preserve"> </w:t>
      </w:r>
      <w:r w:rsidR="00C00DA6">
        <w:rPr>
          <w:sz w:val="22"/>
          <w:szCs w:val="22"/>
        </w:rPr>
        <w:t>p</w:t>
      </w:r>
      <w:r w:rsidR="00903487" w:rsidRPr="00481283">
        <w:rPr>
          <w:sz w:val="22"/>
          <w:szCs w:val="22"/>
        </w:rPr>
        <w:t xml:space="preserve">rocess </w:t>
      </w:r>
      <w:r w:rsidR="00C00DA6">
        <w:rPr>
          <w:sz w:val="22"/>
          <w:szCs w:val="22"/>
        </w:rPr>
        <w:t>w</w:t>
      </w:r>
      <w:r w:rsidR="00885D7D">
        <w:rPr>
          <w:sz w:val="22"/>
          <w:szCs w:val="22"/>
        </w:rPr>
        <w:t xml:space="preserve">ill be posted on the </w:t>
      </w:r>
      <w:r w:rsidR="00C00DA6">
        <w:rPr>
          <w:sz w:val="22"/>
          <w:szCs w:val="22"/>
        </w:rPr>
        <w:t>RTFH</w:t>
      </w:r>
      <w:r w:rsidR="00885D7D">
        <w:rPr>
          <w:sz w:val="22"/>
          <w:szCs w:val="22"/>
        </w:rPr>
        <w:t>SD</w:t>
      </w:r>
      <w:r w:rsidR="00C00DA6">
        <w:rPr>
          <w:sz w:val="22"/>
          <w:szCs w:val="22"/>
        </w:rPr>
        <w:t>.org website.</w:t>
      </w:r>
    </w:p>
    <w:p w14:paraId="3233A17F" w14:textId="77777777" w:rsidR="00903487" w:rsidRPr="00481283" w:rsidRDefault="00903487" w:rsidP="00903487">
      <w:pPr>
        <w:pStyle w:val="Heading2"/>
        <w:spacing w:before="360"/>
        <w:rPr>
          <w:sz w:val="24"/>
          <w:szCs w:val="24"/>
        </w:rPr>
      </w:pPr>
      <w:r w:rsidRPr="00481283">
        <w:rPr>
          <w:sz w:val="24"/>
          <w:szCs w:val="24"/>
        </w:rPr>
        <w:t>Critical Information Summary – Regional Task Force on the Homeless, San Diego</w:t>
      </w:r>
    </w:p>
    <w:tbl>
      <w:tblPr>
        <w:tblStyle w:val="TableGrid"/>
        <w:tblW w:w="9530" w:type="dxa"/>
        <w:tblLook w:val="04A0" w:firstRow="1" w:lastRow="0" w:firstColumn="1" w:lastColumn="0" w:noHBand="0" w:noVBand="1"/>
      </w:tblPr>
      <w:tblGrid>
        <w:gridCol w:w="2605"/>
        <w:gridCol w:w="6925"/>
      </w:tblGrid>
      <w:tr w:rsidR="00903487" w14:paraId="2979246C" w14:textId="77777777" w:rsidTr="00812E7B">
        <w:tc>
          <w:tcPr>
            <w:tcW w:w="2605" w:type="dxa"/>
            <w:vAlign w:val="center"/>
          </w:tcPr>
          <w:p w14:paraId="01C74DAC" w14:textId="77777777" w:rsidR="00903487" w:rsidRPr="00697D59" w:rsidRDefault="00903487" w:rsidP="005F71DA">
            <w:pPr>
              <w:rPr>
                <w:rFonts w:cs="Times New Roman"/>
              </w:rPr>
            </w:pPr>
            <w:r w:rsidRPr="00697D59">
              <w:rPr>
                <w:rFonts w:cs="Times New Roman"/>
              </w:rPr>
              <w:t>Funding Source</w:t>
            </w:r>
          </w:p>
        </w:tc>
        <w:tc>
          <w:tcPr>
            <w:tcW w:w="6925" w:type="dxa"/>
          </w:tcPr>
          <w:p w14:paraId="55FB6C5E" w14:textId="4C1AAFF6" w:rsidR="00903487" w:rsidRPr="00697D59" w:rsidRDefault="00885D7D" w:rsidP="005F71DA">
            <w:pPr>
              <w:rPr>
                <w:rFonts w:cs="Times New Roman"/>
              </w:rPr>
            </w:pPr>
            <w:r>
              <w:rPr>
                <w:rFonts w:cs="Times New Roman"/>
              </w:rPr>
              <w:t>HUD - FY 2021</w:t>
            </w:r>
            <w:r w:rsidR="00903487" w:rsidRPr="00697D59">
              <w:rPr>
                <w:rFonts w:cs="Times New Roman"/>
              </w:rPr>
              <w:t xml:space="preserve"> CoC Program Competition N</w:t>
            </w:r>
            <w:r w:rsidR="0045614E">
              <w:rPr>
                <w:rFonts w:cs="Times New Roman"/>
              </w:rPr>
              <w:t xml:space="preserve">otice of Funding </w:t>
            </w:r>
            <w:r>
              <w:rPr>
                <w:rFonts w:cs="Times New Roman"/>
              </w:rPr>
              <w:t>Opportunity (NOFO</w:t>
            </w:r>
            <w:r w:rsidR="00903487" w:rsidRPr="00697D59">
              <w:rPr>
                <w:rFonts w:cs="Times New Roman"/>
              </w:rPr>
              <w:t>)</w:t>
            </w:r>
            <w:r>
              <w:rPr>
                <w:rFonts w:cs="Times New Roman"/>
              </w:rPr>
              <w:t xml:space="preserve"> (note the change in title and acronym)</w:t>
            </w:r>
          </w:p>
        </w:tc>
      </w:tr>
      <w:tr w:rsidR="00903487" w14:paraId="5EC5177F" w14:textId="77777777" w:rsidTr="00812E7B">
        <w:tc>
          <w:tcPr>
            <w:tcW w:w="2605" w:type="dxa"/>
            <w:vAlign w:val="center"/>
          </w:tcPr>
          <w:p w14:paraId="27771EA6" w14:textId="77777777" w:rsidR="00903487" w:rsidRPr="00697D59" w:rsidRDefault="00B40903" w:rsidP="005F71DA">
            <w:pPr>
              <w:pStyle w:val="BodyText"/>
              <w:spacing w:before="0" w:line="259" w:lineRule="auto"/>
              <w:ind w:right="129"/>
              <w:rPr>
                <w:rFonts w:asciiTheme="minorHAnsi" w:hAnsiTheme="minorHAnsi"/>
                <w:b/>
                <w:i/>
                <w:sz w:val="22"/>
                <w:szCs w:val="22"/>
              </w:rPr>
            </w:pPr>
            <w:r>
              <w:rPr>
                <w:rFonts w:asciiTheme="minorHAnsi" w:hAnsiTheme="minorHAnsi"/>
                <w:b/>
                <w:i/>
                <w:sz w:val="22"/>
                <w:szCs w:val="22"/>
              </w:rPr>
              <w:t xml:space="preserve">General </w:t>
            </w:r>
            <w:r w:rsidR="00B207A7" w:rsidRPr="00697D59">
              <w:rPr>
                <w:rFonts w:asciiTheme="minorHAnsi" w:hAnsiTheme="minorHAnsi"/>
                <w:b/>
                <w:i/>
                <w:sz w:val="22"/>
                <w:szCs w:val="22"/>
              </w:rPr>
              <w:t>Timeline</w:t>
            </w:r>
          </w:p>
        </w:tc>
        <w:tc>
          <w:tcPr>
            <w:tcW w:w="6925" w:type="dxa"/>
          </w:tcPr>
          <w:p w14:paraId="1FDF90DC" w14:textId="3EB1B3FF" w:rsidR="00903487" w:rsidRPr="00697D59" w:rsidRDefault="00885D7D" w:rsidP="00DF6896">
            <w:pPr>
              <w:pStyle w:val="BodyText"/>
              <w:spacing w:before="29"/>
              <w:ind w:right="107"/>
              <w:rPr>
                <w:rFonts w:asciiTheme="minorHAnsi" w:hAnsiTheme="minorHAnsi"/>
                <w:sz w:val="22"/>
                <w:szCs w:val="22"/>
              </w:rPr>
            </w:pPr>
            <w:r>
              <w:rPr>
                <w:rFonts w:asciiTheme="minorHAnsi" w:hAnsiTheme="minorHAnsi"/>
                <w:sz w:val="22"/>
                <w:szCs w:val="22"/>
              </w:rPr>
              <w:t>(A</w:t>
            </w:r>
            <w:r w:rsidR="00DF6896" w:rsidRPr="00697D59">
              <w:rPr>
                <w:rFonts w:asciiTheme="minorHAnsi" w:hAnsiTheme="minorHAnsi"/>
                <w:sz w:val="22"/>
                <w:szCs w:val="22"/>
              </w:rPr>
              <w:t xml:space="preserve"> detailed calendar</w:t>
            </w:r>
            <w:r>
              <w:rPr>
                <w:rFonts w:asciiTheme="minorHAnsi" w:hAnsiTheme="minorHAnsi"/>
                <w:sz w:val="22"/>
                <w:szCs w:val="22"/>
              </w:rPr>
              <w:t xml:space="preserve"> will be</w:t>
            </w:r>
            <w:r w:rsidR="00DF6896" w:rsidRPr="00697D59">
              <w:rPr>
                <w:rFonts w:asciiTheme="minorHAnsi" w:hAnsiTheme="minorHAnsi"/>
                <w:sz w:val="22"/>
                <w:szCs w:val="22"/>
              </w:rPr>
              <w:t xml:space="preserve"> posted on website for more information)</w:t>
            </w:r>
          </w:p>
        </w:tc>
      </w:tr>
      <w:tr w:rsidR="00DF6896" w14:paraId="664950A1" w14:textId="77777777" w:rsidTr="00812E7B">
        <w:tc>
          <w:tcPr>
            <w:tcW w:w="2605" w:type="dxa"/>
            <w:vAlign w:val="center"/>
          </w:tcPr>
          <w:p w14:paraId="4A23393B" w14:textId="2DBD4B64" w:rsidR="00DF6896" w:rsidRPr="00697D59" w:rsidRDefault="00885D7D" w:rsidP="005F71DA">
            <w:pPr>
              <w:pStyle w:val="BodyText"/>
              <w:spacing w:before="0" w:line="259" w:lineRule="auto"/>
              <w:ind w:right="129"/>
              <w:rPr>
                <w:rFonts w:asciiTheme="minorHAnsi" w:hAnsiTheme="minorHAnsi"/>
                <w:sz w:val="22"/>
                <w:szCs w:val="22"/>
              </w:rPr>
            </w:pPr>
            <w:r>
              <w:rPr>
                <w:rFonts w:asciiTheme="minorHAnsi" w:hAnsiTheme="minorHAnsi"/>
                <w:sz w:val="22"/>
                <w:szCs w:val="22"/>
              </w:rPr>
              <w:t>NOFO</w:t>
            </w:r>
            <w:r w:rsidR="00B40903">
              <w:rPr>
                <w:rFonts w:asciiTheme="minorHAnsi" w:hAnsiTheme="minorHAnsi"/>
                <w:sz w:val="22"/>
                <w:szCs w:val="22"/>
              </w:rPr>
              <w:t xml:space="preserve"> Release by HUD</w:t>
            </w:r>
          </w:p>
        </w:tc>
        <w:tc>
          <w:tcPr>
            <w:tcW w:w="6925" w:type="dxa"/>
          </w:tcPr>
          <w:p w14:paraId="44575AF5" w14:textId="7D027C6F" w:rsidR="00DF6896" w:rsidRPr="00697D59" w:rsidRDefault="00885D7D" w:rsidP="005F71DA">
            <w:pPr>
              <w:pStyle w:val="BodyText"/>
              <w:spacing w:before="29"/>
              <w:ind w:right="107"/>
              <w:rPr>
                <w:rFonts w:asciiTheme="minorHAnsi" w:hAnsiTheme="minorHAnsi"/>
                <w:sz w:val="22"/>
                <w:szCs w:val="22"/>
              </w:rPr>
            </w:pPr>
            <w:r>
              <w:rPr>
                <w:rFonts w:asciiTheme="minorHAnsi" w:hAnsiTheme="minorHAnsi"/>
                <w:sz w:val="22"/>
                <w:szCs w:val="22"/>
              </w:rPr>
              <w:t>August 18, 2021</w:t>
            </w:r>
          </w:p>
        </w:tc>
      </w:tr>
      <w:tr w:rsidR="00DF6896" w14:paraId="28B5EF21" w14:textId="77777777" w:rsidTr="00812E7B">
        <w:tc>
          <w:tcPr>
            <w:tcW w:w="2605" w:type="dxa"/>
            <w:vAlign w:val="center"/>
          </w:tcPr>
          <w:p w14:paraId="25A71259" w14:textId="17C36DD9" w:rsidR="00DF6896" w:rsidRPr="00697D59" w:rsidRDefault="00B40903" w:rsidP="005F71DA">
            <w:pPr>
              <w:pStyle w:val="BodyText"/>
              <w:spacing w:before="0" w:line="259" w:lineRule="auto"/>
              <w:ind w:right="129"/>
              <w:rPr>
                <w:rFonts w:asciiTheme="minorHAnsi" w:hAnsiTheme="minorHAnsi"/>
                <w:sz w:val="22"/>
                <w:szCs w:val="22"/>
              </w:rPr>
            </w:pPr>
            <w:r>
              <w:rPr>
                <w:rFonts w:asciiTheme="minorHAnsi" w:hAnsiTheme="minorHAnsi"/>
                <w:sz w:val="22"/>
                <w:szCs w:val="22"/>
              </w:rPr>
              <w:t>Intent to Submit Renewal</w:t>
            </w:r>
            <w:r w:rsidR="00885D7D">
              <w:rPr>
                <w:rFonts w:asciiTheme="minorHAnsi" w:hAnsiTheme="minorHAnsi"/>
                <w:sz w:val="22"/>
                <w:szCs w:val="22"/>
              </w:rPr>
              <w:t xml:space="preserve"> Projects</w:t>
            </w:r>
          </w:p>
        </w:tc>
        <w:tc>
          <w:tcPr>
            <w:tcW w:w="6925" w:type="dxa"/>
          </w:tcPr>
          <w:p w14:paraId="15779C5A" w14:textId="4588A41B" w:rsidR="00B40903" w:rsidRPr="00697D59" w:rsidRDefault="008E09F5" w:rsidP="00B40903">
            <w:pPr>
              <w:pStyle w:val="BodyText"/>
              <w:spacing w:before="29"/>
              <w:ind w:right="107"/>
              <w:jc w:val="both"/>
              <w:rPr>
                <w:rFonts w:asciiTheme="minorHAnsi" w:hAnsiTheme="minorHAnsi"/>
                <w:sz w:val="22"/>
                <w:szCs w:val="22"/>
              </w:rPr>
            </w:pPr>
            <w:r>
              <w:rPr>
                <w:rFonts w:asciiTheme="minorHAnsi" w:hAnsiTheme="minorHAnsi"/>
                <w:sz w:val="22"/>
                <w:szCs w:val="22"/>
              </w:rPr>
              <w:t>Released July 14</w:t>
            </w:r>
            <w:r w:rsidR="00885D7D">
              <w:rPr>
                <w:rFonts w:asciiTheme="minorHAnsi" w:hAnsiTheme="minorHAnsi"/>
                <w:sz w:val="22"/>
                <w:szCs w:val="22"/>
              </w:rPr>
              <w:t>, 2021</w:t>
            </w:r>
          </w:p>
        </w:tc>
      </w:tr>
      <w:tr w:rsidR="00B40903" w14:paraId="50D79AFA" w14:textId="77777777" w:rsidTr="00812E7B">
        <w:tc>
          <w:tcPr>
            <w:tcW w:w="2605" w:type="dxa"/>
            <w:vAlign w:val="center"/>
          </w:tcPr>
          <w:p w14:paraId="66A394EF" w14:textId="77777777" w:rsidR="00B40903" w:rsidRPr="00697D59" w:rsidRDefault="00B40903" w:rsidP="00B40903">
            <w:pPr>
              <w:pStyle w:val="BodyText"/>
              <w:spacing w:before="0" w:line="259" w:lineRule="auto"/>
              <w:ind w:right="129"/>
              <w:rPr>
                <w:rFonts w:asciiTheme="minorHAnsi" w:hAnsiTheme="minorHAnsi"/>
                <w:sz w:val="22"/>
                <w:szCs w:val="22"/>
              </w:rPr>
            </w:pPr>
            <w:r>
              <w:rPr>
                <w:rFonts w:asciiTheme="minorHAnsi" w:hAnsiTheme="minorHAnsi"/>
                <w:sz w:val="22"/>
                <w:szCs w:val="22"/>
              </w:rPr>
              <w:t xml:space="preserve">Intent to Submit  NEW Project </w:t>
            </w:r>
          </w:p>
        </w:tc>
        <w:tc>
          <w:tcPr>
            <w:tcW w:w="6925" w:type="dxa"/>
          </w:tcPr>
          <w:p w14:paraId="006C2BC3" w14:textId="47F0A2C3" w:rsidR="00B40903" w:rsidRPr="00697D59" w:rsidRDefault="008E09F5" w:rsidP="008E09F5">
            <w:pPr>
              <w:pStyle w:val="BodyText"/>
              <w:spacing w:before="29"/>
              <w:ind w:right="107"/>
              <w:rPr>
                <w:rFonts w:asciiTheme="minorHAnsi" w:hAnsiTheme="minorHAnsi"/>
                <w:sz w:val="22"/>
                <w:szCs w:val="22"/>
              </w:rPr>
            </w:pPr>
            <w:r>
              <w:rPr>
                <w:rFonts w:asciiTheme="minorHAnsi" w:hAnsiTheme="minorHAnsi"/>
                <w:sz w:val="22"/>
                <w:szCs w:val="22"/>
              </w:rPr>
              <w:t>Anticipated r</w:t>
            </w:r>
            <w:r w:rsidR="00885D7D">
              <w:rPr>
                <w:rFonts w:asciiTheme="minorHAnsi" w:hAnsiTheme="minorHAnsi"/>
                <w:sz w:val="22"/>
                <w:szCs w:val="22"/>
              </w:rPr>
              <w:t>elea</w:t>
            </w:r>
            <w:r>
              <w:rPr>
                <w:rFonts w:asciiTheme="minorHAnsi" w:hAnsiTheme="minorHAnsi"/>
                <w:sz w:val="22"/>
                <w:szCs w:val="22"/>
              </w:rPr>
              <w:t>se</w:t>
            </w:r>
            <w:r w:rsidR="00885D7D">
              <w:rPr>
                <w:rFonts w:asciiTheme="minorHAnsi" w:hAnsiTheme="minorHAnsi"/>
                <w:sz w:val="22"/>
                <w:szCs w:val="22"/>
              </w:rPr>
              <w:t xml:space="preserve"> </w:t>
            </w:r>
            <w:r>
              <w:rPr>
                <w:rFonts w:asciiTheme="minorHAnsi" w:hAnsiTheme="minorHAnsi"/>
                <w:sz w:val="22"/>
                <w:szCs w:val="22"/>
              </w:rPr>
              <w:t xml:space="preserve">August 28, 2021 </w:t>
            </w:r>
            <w:r w:rsidR="00885D7D">
              <w:rPr>
                <w:rFonts w:asciiTheme="minorHAnsi" w:hAnsiTheme="minorHAnsi"/>
                <w:sz w:val="22"/>
                <w:szCs w:val="22"/>
              </w:rPr>
              <w:t xml:space="preserve"> </w:t>
            </w:r>
          </w:p>
        </w:tc>
      </w:tr>
      <w:tr w:rsidR="00B40903" w14:paraId="220282DA" w14:textId="77777777" w:rsidTr="00812E7B">
        <w:tc>
          <w:tcPr>
            <w:tcW w:w="2605" w:type="dxa"/>
          </w:tcPr>
          <w:p w14:paraId="7A613911" w14:textId="77777777" w:rsidR="00B40903" w:rsidRPr="00697D59" w:rsidRDefault="00A205E0" w:rsidP="00B40903">
            <w:pPr>
              <w:rPr>
                <w:rFonts w:cs="Times New Roman"/>
              </w:rPr>
            </w:pPr>
            <w:r>
              <w:rPr>
                <w:rFonts w:cs="Times New Roman"/>
              </w:rPr>
              <w:t>Local Project due date</w:t>
            </w:r>
          </w:p>
        </w:tc>
        <w:tc>
          <w:tcPr>
            <w:tcW w:w="6925" w:type="dxa"/>
            <w:vAlign w:val="center"/>
          </w:tcPr>
          <w:p w14:paraId="7ED73B15" w14:textId="5F2CAF2F" w:rsidR="00B40903" w:rsidRPr="00697D59" w:rsidRDefault="004D31CC" w:rsidP="00B40903">
            <w:pPr>
              <w:rPr>
                <w:rFonts w:cs="Times New Roman"/>
              </w:rPr>
            </w:pPr>
            <w:r>
              <w:rPr>
                <w:rFonts w:cs="Times New Roman"/>
              </w:rPr>
              <w:t xml:space="preserve">To be Determined – </w:t>
            </w:r>
            <w:r w:rsidR="00A205E0">
              <w:rPr>
                <w:rFonts w:cs="Times New Roman"/>
              </w:rPr>
              <w:t>An</w:t>
            </w:r>
            <w:r>
              <w:rPr>
                <w:rFonts w:cs="Times New Roman"/>
              </w:rPr>
              <w:t>ticipated</w:t>
            </w:r>
            <w:r w:rsidR="00885D7D">
              <w:rPr>
                <w:rFonts w:cs="Times New Roman"/>
              </w:rPr>
              <w:t xml:space="preserve"> October 1, 2021</w:t>
            </w:r>
          </w:p>
        </w:tc>
      </w:tr>
      <w:tr w:rsidR="00B40903" w14:paraId="02CAC4FE" w14:textId="77777777" w:rsidTr="00812E7B">
        <w:tc>
          <w:tcPr>
            <w:tcW w:w="2605" w:type="dxa"/>
            <w:vAlign w:val="center"/>
          </w:tcPr>
          <w:p w14:paraId="5562A02A" w14:textId="77777777" w:rsidR="00B40903" w:rsidRPr="00697D59" w:rsidRDefault="00B40903" w:rsidP="00B40903">
            <w:pPr>
              <w:pStyle w:val="BodyText"/>
              <w:spacing w:before="0" w:line="259" w:lineRule="auto"/>
              <w:ind w:right="129"/>
              <w:rPr>
                <w:rFonts w:asciiTheme="minorHAnsi" w:hAnsiTheme="minorHAnsi"/>
                <w:sz w:val="22"/>
                <w:szCs w:val="22"/>
              </w:rPr>
            </w:pPr>
            <w:r w:rsidRPr="00697D59">
              <w:rPr>
                <w:rFonts w:asciiTheme="minorHAnsi" w:hAnsiTheme="minorHAnsi"/>
                <w:sz w:val="22"/>
                <w:szCs w:val="22"/>
              </w:rPr>
              <w:t>Local Submittal to HUD</w:t>
            </w:r>
          </w:p>
        </w:tc>
        <w:tc>
          <w:tcPr>
            <w:tcW w:w="6925" w:type="dxa"/>
          </w:tcPr>
          <w:p w14:paraId="43A74339" w14:textId="18405107" w:rsidR="00B40903" w:rsidRPr="00697D59" w:rsidRDefault="00885D7D" w:rsidP="00B40903">
            <w:pPr>
              <w:pStyle w:val="BodyText"/>
              <w:spacing w:before="29"/>
              <w:ind w:right="107"/>
              <w:rPr>
                <w:rFonts w:asciiTheme="minorHAnsi" w:hAnsiTheme="minorHAnsi"/>
                <w:sz w:val="22"/>
                <w:szCs w:val="22"/>
              </w:rPr>
            </w:pPr>
            <w:r>
              <w:rPr>
                <w:rFonts w:asciiTheme="minorHAnsi" w:hAnsiTheme="minorHAnsi"/>
                <w:sz w:val="22"/>
                <w:szCs w:val="22"/>
              </w:rPr>
              <w:t>November 12</w:t>
            </w:r>
            <w:r w:rsidR="00B40903" w:rsidRPr="00697D59">
              <w:rPr>
                <w:rFonts w:asciiTheme="minorHAnsi" w:hAnsiTheme="minorHAnsi"/>
                <w:sz w:val="22"/>
                <w:szCs w:val="22"/>
              </w:rPr>
              <w:t>,</w:t>
            </w:r>
            <w:r>
              <w:rPr>
                <w:rFonts w:asciiTheme="minorHAnsi" w:hAnsiTheme="minorHAnsi"/>
                <w:sz w:val="22"/>
                <w:szCs w:val="22"/>
              </w:rPr>
              <w:t xml:space="preserve"> 2021 </w:t>
            </w:r>
            <w:r w:rsidR="00B40903" w:rsidRPr="00697D59">
              <w:rPr>
                <w:rFonts w:asciiTheme="minorHAnsi" w:hAnsiTheme="minorHAnsi"/>
                <w:sz w:val="22"/>
                <w:szCs w:val="22"/>
              </w:rPr>
              <w:t>or prior</w:t>
            </w:r>
          </w:p>
        </w:tc>
      </w:tr>
      <w:tr w:rsidR="00B40903" w14:paraId="0A9BD5E4" w14:textId="77777777" w:rsidTr="00812E7B">
        <w:tc>
          <w:tcPr>
            <w:tcW w:w="2605" w:type="dxa"/>
            <w:vAlign w:val="center"/>
          </w:tcPr>
          <w:p w14:paraId="37F3EB3D" w14:textId="77777777" w:rsidR="00B40903" w:rsidRPr="00697D59" w:rsidRDefault="00B40903" w:rsidP="00B40903">
            <w:pPr>
              <w:pStyle w:val="BodyText"/>
              <w:spacing w:before="0" w:line="259" w:lineRule="auto"/>
              <w:ind w:right="129"/>
              <w:rPr>
                <w:rFonts w:asciiTheme="minorHAnsi" w:hAnsiTheme="minorHAnsi"/>
                <w:sz w:val="22"/>
                <w:szCs w:val="22"/>
              </w:rPr>
            </w:pPr>
            <w:r w:rsidRPr="00697D59">
              <w:rPr>
                <w:rFonts w:asciiTheme="minorHAnsi" w:hAnsiTheme="minorHAnsi"/>
                <w:sz w:val="22"/>
                <w:szCs w:val="22"/>
              </w:rPr>
              <w:t>Federal Due Date</w:t>
            </w:r>
          </w:p>
        </w:tc>
        <w:tc>
          <w:tcPr>
            <w:tcW w:w="6925" w:type="dxa"/>
          </w:tcPr>
          <w:p w14:paraId="23944806" w14:textId="76C644B2" w:rsidR="00B40903" w:rsidRPr="00697D59" w:rsidRDefault="00885D7D" w:rsidP="00B40903">
            <w:pPr>
              <w:pStyle w:val="BodyText"/>
              <w:spacing w:before="29"/>
              <w:ind w:right="107"/>
              <w:rPr>
                <w:rFonts w:asciiTheme="minorHAnsi" w:hAnsiTheme="minorHAnsi"/>
                <w:sz w:val="22"/>
                <w:szCs w:val="22"/>
              </w:rPr>
            </w:pPr>
            <w:r>
              <w:rPr>
                <w:rFonts w:asciiTheme="minorHAnsi" w:hAnsiTheme="minorHAnsi"/>
                <w:sz w:val="22"/>
                <w:szCs w:val="22"/>
              </w:rPr>
              <w:t>November 16</w:t>
            </w:r>
            <w:r w:rsidR="00B40903" w:rsidRPr="00697D59">
              <w:rPr>
                <w:rFonts w:asciiTheme="minorHAnsi" w:hAnsiTheme="minorHAnsi"/>
                <w:sz w:val="22"/>
                <w:szCs w:val="22"/>
              </w:rPr>
              <w:t>,</w:t>
            </w:r>
            <w:r w:rsidR="002F68F8">
              <w:rPr>
                <w:rFonts w:asciiTheme="minorHAnsi" w:hAnsiTheme="minorHAnsi"/>
                <w:sz w:val="22"/>
                <w:szCs w:val="22"/>
              </w:rPr>
              <w:t xml:space="preserve"> 2021   5:00 PM </w:t>
            </w:r>
          </w:p>
        </w:tc>
      </w:tr>
      <w:tr w:rsidR="00B40903" w14:paraId="3277DAA1" w14:textId="77777777" w:rsidTr="00812E7B">
        <w:trPr>
          <w:trHeight w:val="251"/>
        </w:trPr>
        <w:tc>
          <w:tcPr>
            <w:tcW w:w="2605" w:type="dxa"/>
          </w:tcPr>
          <w:p w14:paraId="176938CA" w14:textId="77777777" w:rsidR="00B40903" w:rsidRPr="00697D59" w:rsidRDefault="00B40903" w:rsidP="00B40903">
            <w:pPr>
              <w:rPr>
                <w:rFonts w:cs="Times New Roman"/>
              </w:rPr>
            </w:pPr>
          </w:p>
        </w:tc>
        <w:tc>
          <w:tcPr>
            <w:tcW w:w="6925" w:type="dxa"/>
            <w:vAlign w:val="center"/>
          </w:tcPr>
          <w:p w14:paraId="3AB45043" w14:textId="77777777" w:rsidR="00B40903" w:rsidRPr="00697D59" w:rsidRDefault="00B40903" w:rsidP="00B40903">
            <w:pPr>
              <w:rPr>
                <w:rFonts w:cs="Times New Roman"/>
              </w:rPr>
            </w:pPr>
          </w:p>
        </w:tc>
      </w:tr>
      <w:tr w:rsidR="00B40903" w14:paraId="0E8C1B5C" w14:textId="77777777" w:rsidTr="00812E7B">
        <w:trPr>
          <w:trHeight w:val="251"/>
        </w:trPr>
        <w:tc>
          <w:tcPr>
            <w:tcW w:w="2605" w:type="dxa"/>
          </w:tcPr>
          <w:p w14:paraId="3B0B267C" w14:textId="77777777" w:rsidR="00B40903" w:rsidRPr="00697D59" w:rsidRDefault="00B40903" w:rsidP="00B40903">
            <w:pPr>
              <w:rPr>
                <w:rFonts w:cs="Times New Roman"/>
                <w:b/>
                <w:i/>
              </w:rPr>
            </w:pPr>
            <w:r w:rsidRPr="00697D59">
              <w:rPr>
                <w:rFonts w:cs="Times New Roman"/>
                <w:b/>
                <w:i/>
              </w:rPr>
              <w:t>Funding Details</w:t>
            </w:r>
          </w:p>
        </w:tc>
        <w:tc>
          <w:tcPr>
            <w:tcW w:w="6925" w:type="dxa"/>
            <w:vAlign w:val="center"/>
          </w:tcPr>
          <w:p w14:paraId="35D02E47" w14:textId="77777777" w:rsidR="00B40903" w:rsidRPr="00697D59" w:rsidRDefault="00B40903" w:rsidP="00B40903">
            <w:pPr>
              <w:rPr>
                <w:rFonts w:cs="Times New Roman"/>
              </w:rPr>
            </w:pPr>
          </w:p>
        </w:tc>
      </w:tr>
      <w:tr w:rsidR="00B40903" w14:paraId="21314C12" w14:textId="77777777" w:rsidTr="00812E7B">
        <w:trPr>
          <w:trHeight w:val="251"/>
        </w:trPr>
        <w:tc>
          <w:tcPr>
            <w:tcW w:w="2605" w:type="dxa"/>
            <w:vAlign w:val="center"/>
          </w:tcPr>
          <w:p w14:paraId="3002496D" w14:textId="77777777" w:rsidR="00B40903" w:rsidRPr="00697D59" w:rsidRDefault="00B40903" w:rsidP="00B40903">
            <w:pPr>
              <w:pStyle w:val="BodyText"/>
              <w:spacing w:before="0" w:line="259" w:lineRule="auto"/>
              <w:ind w:right="129"/>
              <w:rPr>
                <w:rFonts w:asciiTheme="minorHAnsi" w:hAnsiTheme="minorHAnsi"/>
                <w:sz w:val="22"/>
                <w:szCs w:val="22"/>
              </w:rPr>
            </w:pPr>
            <w:r w:rsidRPr="00697D59">
              <w:rPr>
                <w:rFonts w:asciiTheme="minorHAnsi" w:hAnsiTheme="minorHAnsi"/>
                <w:sz w:val="22"/>
                <w:szCs w:val="22"/>
              </w:rPr>
              <w:t xml:space="preserve">Funding Opportunity </w:t>
            </w:r>
          </w:p>
        </w:tc>
        <w:tc>
          <w:tcPr>
            <w:tcW w:w="6925" w:type="dxa"/>
          </w:tcPr>
          <w:p w14:paraId="62C7AC7E" w14:textId="727418A0" w:rsidR="00B40903" w:rsidRPr="00697D59" w:rsidRDefault="00B40903" w:rsidP="008E09F5">
            <w:pPr>
              <w:pStyle w:val="BodyText"/>
              <w:spacing w:before="29"/>
              <w:ind w:right="107"/>
              <w:rPr>
                <w:rFonts w:asciiTheme="minorHAnsi" w:hAnsiTheme="minorHAnsi"/>
                <w:sz w:val="22"/>
                <w:szCs w:val="22"/>
              </w:rPr>
            </w:pPr>
            <w:r w:rsidRPr="00697D59">
              <w:rPr>
                <w:rFonts w:asciiTheme="minorHAnsi" w:hAnsiTheme="minorHAnsi"/>
                <w:sz w:val="22"/>
                <w:szCs w:val="22"/>
              </w:rPr>
              <w:t>FR-</w:t>
            </w:r>
            <w:r w:rsidR="002F68F8" w:rsidRPr="008E09F5">
              <w:rPr>
                <w:rFonts w:asciiTheme="minorHAnsi" w:hAnsiTheme="minorHAnsi"/>
                <w:sz w:val="22"/>
                <w:szCs w:val="22"/>
              </w:rPr>
              <w:t>65</w:t>
            </w:r>
            <w:r w:rsidRPr="008E09F5">
              <w:rPr>
                <w:rFonts w:asciiTheme="minorHAnsi" w:hAnsiTheme="minorHAnsi"/>
                <w:sz w:val="22"/>
                <w:szCs w:val="22"/>
              </w:rPr>
              <w:t>00</w:t>
            </w:r>
            <w:r w:rsidRPr="00697D59">
              <w:rPr>
                <w:rFonts w:asciiTheme="minorHAnsi" w:hAnsiTheme="minorHAnsi"/>
                <w:sz w:val="22"/>
                <w:szCs w:val="22"/>
              </w:rPr>
              <w:t xml:space="preserve">-N-25 This number is used during registration to apply for funds. </w:t>
            </w:r>
            <w:r w:rsidR="00445F20">
              <w:rPr>
                <w:rFonts w:asciiTheme="minorHAnsi" w:hAnsiTheme="minorHAnsi"/>
                <w:sz w:val="22"/>
                <w:szCs w:val="22"/>
              </w:rPr>
              <w:t>(</w:t>
            </w:r>
            <w:r w:rsidR="008E09F5">
              <w:rPr>
                <w:rFonts w:asciiTheme="minorHAnsi" w:hAnsiTheme="minorHAnsi"/>
                <w:sz w:val="22"/>
                <w:szCs w:val="22"/>
              </w:rPr>
              <w:t>Applicants p</w:t>
            </w:r>
            <w:r w:rsidRPr="00697D59">
              <w:rPr>
                <w:rFonts w:asciiTheme="minorHAnsi" w:hAnsiTheme="minorHAnsi"/>
                <w:sz w:val="22"/>
                <w:szCs w:val="22"/>
              </w:rPr>
              <w:t xml:space="preserve">lease </w:t>
            </w:r>
            <w:r w:rsidR="008E09F5">
              <w:rPr>
                <w:rFonts w:asciiTheme="minorHAnsi" w:hAnsiTheme="minorHAnsi"/>
                <w:sz w:val="22"/>
                <w:szCs w:val="22"/>
              </w:rPr>
              <w:t xml:space="preserve">note this number </w:t>
            </w:r>
            <w:r w:rsidRPr="00697D59">
              <w:rPr>
                <w:rFonts w:asciiTheme="minorHAnsi" w:hAnsiTheme="minorHAnsi"/>
                <w:sz w:val="22"/>
                <w:szCs w:val="22"/>
              </w:rPr>
              <w:t>for use in your application.</w:t>
            </w:r>
            <w:r w:rsidR="00445F20">
              <w:rPr>
                <w:rFonts w:asciiTheme="minorHAnsi" w:hAnsiTheme="minorHAnsi"/>
                <w:sz w:val="22"/>
                <w:szCs w:val="22"/>
              </w:rPr>
              <w:t>)</w:t>
            </w:r>
            <w:r w:rsidRPr="00697D59">
              <w:rPr>
                <w:rFonts w:asciiTheme="minorHAnsi" w:hAnsiTheme="minorHAnsi"/>
                <w:sz w:val="22"/>
                <w:szCs w:val="22"/>
              </w:rPr>
              <w:t xml:space="preserve"> </w:t>
            </w:r>
          </w:p>
        </w:tc>
      </w:tr>
      <w:tr w:rsidR="00B40903" w14:paraId="265E812C" w14:textId="77777777" w:rsidTr="00812E7B">
        <w:trPr>
          <w:trHeight w:val="251"/>
        </w:trPr>
        <w:tc>
          <w:tcPr>
            <w:tcW w:w="2605" w:type="dxa"/>
          </w:tcPr>
          <w:p w14:paraId="7B401066" w14:textId="77777777" w:rsidR="00B40903" w:rsidRPr="00697D59" w:rsidRDefault="00B40903" w:rsidP="00B40903">
            <w:pPr>
              <w:rPr>
                <w:rFonts w:cs="Times New Roman"/>
              </w:rPr>
            </w:pPr>
            <w:r w:rsidRPr="00697D59">
              <w:rPr>
                <w:rFonts w:cs="Times New Roman"/>
              </w:rPr>
              <w:t xml:space="preserve">Catalog of Federal Domestic Assistance </w:t>
            </w:r>
          </w:p>
        </w:tc>
        <w:tc>
          <w:tcPr>
            <w:tcW w:w="6925" w:type="dxa"/>
            <w:vAlign w:val="center"/>
          </w:tcPr>
          <w:p w14:paraId="63C20C4B" w14:textId="77777777" w:rsidR="00B40903" w:rsidRPr="00697D59" w:rsidRDefault="00B40903" w:rsidP="00B40903">
            <w:pPr>
              <w:rPr>
                <w:rFonts w:cs="Times New Roman"/>
              </w:rPr>
            </w:pPr>
            <w:r w:rsidRPr="00697D59">
              <w:rPr>
                <w:rFonts w:cs="Times New Roman"/>
              </w:rPr>
              <w:t>14.267   (This number is needed on standard forms in the application.)</w:t>
            </w:r>
          </w:p>
        </w:tc>
      </w:tr>
      <w:tr w:rsidR="00B40903" w14:paraId="5E39426E" w14:textId="77777777" w:rsidTr="00812E7B">
        <w:trPr>
          <w:trHeight w:val="440"/>
        </w:trPr>
        <w:tc>
          <w:tcPr>
            <w:tcW w:w="2605" w:type="dxa"/>
            <w:vAlign w:val="center"/>
          </w:tcPr>
          <w:p w14:paraId="4F9C4708" w14:textId="77777777" w:rsidR="00B40903" w:rsidRPr="00697D59" w:rsidRDefault="00B40903" w:rsidP="00B40903">
            <w:pPr>
              <w:rPr>
                <w:rFonts w:cs="Times New Roman"/>
              </w:rPr>
            </w:pPr>
            <w:r w:rsidRPr="00697D59">
              <w:rPr>
                <w:rFonts w:cs="Times New Roman"/>
              </w:rPr>
              <w:t>Annual Renewal Demand</w:t>
            </w:r>
          </w:p>
        </w:tc>
        <w:tc>
          <w:tcPr>
            <w:tcW w:w="6925" w:type="dxa"/>
          </w:tcPr>
          <w:p w14:paraId="395DCAC9" w14:textId="1F7D35EE" w:rsidR="00B40903" w:rsidRPr="00697D59" w:rsidRDefault="00B40903" w:rsidP="00B40903">
            <w:pPr>
              <w:rPr>
                <w:rFonts w:cs="Times New Roman"/>
              </w:rPr>
            </w:pPr>
            <w:r w:rsidRPr="00697D59">
              <w:rPr>
                <w:rFonts w:cs="Times New Roman"/>
              </w:rPr>
              <w:t xml:space="preserve">$ </w:t>
            </w:r>
            <w:r w:rsidR="002E3522">
              <w:rPr>
                <w:rFonts w:cs="Times New Roman"/>
              </w:rPr>
              <w:t>27,998,223</w:t>
            </w:r>
            <w:r w:rsidR="00F20EBD">
              <w:rPr>
                <w:rFonts w:cs="Times New Roman"/>
              </w:rPr>
              <w:t xml:space="preserve"> </w:t>
            </w:r>
            <w:r w:rsidR="00473724">
              <w:rPr>
                <w:rFonts w:cs="Times New Roman"/>
              </w:rPr>
              <w:t xml:space="preserve">(ARD) Amount needed to fund one year of existing </w:t>
            </w:r>
            <w:r w:rsidR="0045614E">
              <w:rPr>
                <w:rFonts w:cs="Times New Roman"/>
              </w:rPr>
              <w:t>projects</w:t>
            </w:r>
            <w:r w:rsidR="00473724">
              <w:rPr>
                <w:rFonts w:cs="Times New Roman"/>
              </w:rPr>
              <w:t xml:space="preserve"> eligible for renewal</w:t>
            </w:r>
          </w:p>
        </w:tc>
      </w:tr>
      <w:tr w:rsidR="00B40903" w14:paraId="7C6DBFCB" w14:textId="77777777" w:rsidTr="00812E7B">
        <w:tc>
          <w:tcPr>
            <w:tcW w:w="2605" w:type="dxa"/>
            <w:vAlign w:val="center"/>
          </w:tcPr>
          <w:p w14:paraId="55B665C1" w14:textId="77777777" w:rsidR="00B40903" w:rsidRPr="00697D59" w:rsidRDefault="00B40903" w:rsidP="00B40903">
            <w:pPr>
              <w:rPr>
                <w:rFonts w:cs="Times New Roman"/>
              </w:rPr>
            </w:pPr>
            <w:r w:rsidRPr="00697D59">
              <w:rPr>
                <w:rFonts w:cs="Times New Roman"/>
              </w:rPr>
              <w:t xml:space="preserve">Tier 1  Amount </w:t>
            </w:r>
          </w:p>
        </w:tc>
        <w:tc>
          <w:tcPr>
            <w:tcW w:w="6925" w:type="dxa"/>
          </w:tcPr>
          <w:p w14:paraId="516A7740" w14:textId="79E8BEA3" w:rsidR="00B40903" w:rsidRPr="00697D59" w:rsidRDefault="00B40903" w:rsidP="003E38B8">
            <w:pPr>
              <w:rPr>
                <w:rFonts w:cs="Times New Roman"/>
              </w:rPr>
            </w:pPr>
            <w:r w:rsidRPr="00697D59">
              <w:rPr>
                <w:rFonts w:cs="Times New Roman"/>
              </w:rPr>
              <w:t xml:space="preserve">$ </w:t>
            </w:r>
            <w:proofErr w:type="gramStart"/>
            <w:r w:rsidR="003E38B8">
              <w:rPr>
                <w:rFonts w:cs="Times New Roman"/>
              </w:rPr>
              <w:t>24,007,281</w:t>
            </w:r>
            <w:r w:rsidR="002E3522">
              <w:rPr>
                <w:rFonts w:cs="Times New Roman"/>
              </w:rPr>
              <w:t xml:space="preserve"> </w:t>
            </w:r>
            <w:r w:rsidR="003E38B8">
              <w:rPr>
                <w:rFonts w:cs="Times New Roman"/>
              </w:rPr>
              <w:t xml:space="preserve"> </w:t>
            </w:r>
            <w:r w:rsidR="002F68F8">
              <w:rPr>
                <w:rFonts w:cs="Times New Roman"/>
              </w:rPr>
              <w:t>ARD</w:t>
            </w:r>
            <w:proofErr w:type="gramEnd"/>
            <w:r w:rsidR="002F68F8">
              <w:rPr>
                <w:rFonts w:cs="Times New Roman"/>
              </w:rPr>
              <w:t xml:space="preserve"> Minus Youth Homeless Demonstration Project</w:t>
            </w:r>
            <w:r w:rsidR="003E38B8">
              <w:rPr>
                <w:rFonts w:cs="Times New Roman"/>
              </w:rPr>
              <w:t xml:space="preserve"> (YHDP) renewal amounts.</w:t>
            </w:r>
          </w:p>
        </w:tc>
      </w:tr>
      <w:tr w:rsidR="00B40903" w14:paraId="4121D53F" w14:textId="77777777" w:rsidTr="00812E7B">
        <w:tc>
          <w:tcPr>
            <w:tcW w:w="2605" w:type="dxa"/>
            <w:vAlign w:val="center"/>
          </w:tcPr>
          <w:p w14:paraId="1963BE04" w14:textId="7E1F1BB5" w:rsidR="00812E7B" w:rsidRPr="00697D59" w:rsidRDefault="003E38B8" w:rsidP="003E38B8">
            <w:pPr>
              <w:rPr>
                <w:rFonts w:cs="Times New Roman"/>
              </w:rPr>
            </w:pPr>
            <w:r>
              <w:rPr>
                <w:rFonts w:cs="Times New Roman"/>
              </w:rPr>
              <w:t xml:space="preserve">Tier 2 </w:t>
            </w:r>
            <w:r w:rsidR="00B17977">
              <w:rPr>
                <w:rFonts w:cs="Times New Roman"/>
              </w:rPr>
              <w:t>Domestic Violence</w:t>
            </w:r>
            <w:r w:rsidR="00812E7B">
              <w:rPr>
                <w:rFonts w:cs="Times New Roman"/>
              </w:rPr>
              <w:t xml:space="preserve"> Bonus</w:t>
            </w:r>
            <w:r w:rsidR="009B788C">
              <w:rPr>
                <w:rFonts w:cs="Times New Roman"/>
              </w:rPr>
              <w:t>; Unallocated T</w:t>
            </w:r>
          </w:p>
        </w:tc>
        <w:tc>
          <w:tcPr>
            <w:tcW w:w="6925" w:type="dxa"/>
          </w:tcPr>
          <w:p w14:paraId="227D6F41" w14:textId="0528A05B" w:rsidR="00C41D51" w:rsidRPr="00697D59" w:rsidRDefault="00C41D51" w:rsidP="00B01DB4">
            <w:pPr>
              <w:tabs>
                <w:tab w:val="left" w:pos="5340"/>
              </w:tabs>
              <w:rPr>
                <w:rFonts w:cs="Times New Roman"/>
              </w:rPr>
            </w:pPr>
            <w:proofErr w:type="gramStart"/>
            <w:r>
              <w:rPr>
                <w:rFonts w:cs="Times New Roman"/>
              </w:rPr>
              <w:t xml:space="preserve">$  </w:t>
            </w:r>
            <w:r w:rsidR="00812E7B">
              <w:rPr>
                <w:rFonts w:cs="Times New Roman"/>
              </w:rPr>
              <w:t>TBD</w:t>
            </w:r>
            <w:proofErr w:type="gramEnd"/>
            <w:r w:rsidR="00B17977">
              <w:rPr>
                <w:rFonts w:cs="Times New Roman"/>
              </w:rPr>
              <w:t xml:space="preserve">  Domestic Violence Bonus funds in the FY21 NOFO combine funds from FY20 and FY21.</w:t>
            </w:r>
          </w:p>
        </w:tc>
      </w:tr>
      <w:tr w:rsidR="00B40903" w14:paraId="38E3A4C7" w14:textId="77777777" w:rsidTr="00812E7B">
        <w:tc>
          <w:tcPr>
            <w:tcW w:w="2605" w:type="dxa"/>
            <w:vAlign w:val="center"/>
          </w:tcPr>
          <w:p w14:paraId="7CBE0BAE" w14:textId="38D78EDC" w:rsidR="00B40903" w:rsidRPr="00697D59" w:rsidRDefault="002F68F8" w:rsidP="00B40903">
            <w:pPr>
              <w:rPr>
                <w:rFonts w:cs="Times New Roman"/>
              </w:rPr>
            </w:pPr>
            <w:r>
              <w:rPr>
                <w:rFonts w:cs="Times New Roman"/>
              </w:rPr>
              <w:t xml:space="preserve">Potential </w:t>
            </w:r>
            <w:r w:rsidR="00B40903" w:rsidRPr="00697D59">
              <w:rPr>
                <w:rFonts w:cs="Times New Roman"/>
              </w:rPr>
              <w:t>Planning Grant</w:t>
            </w:r>
          </w:p>
        </w:tc>
        <w:tc>
          <w:tcPr>
            <w:tcW w:w="6925" w:type="dxa"/>
          </w:tcPr>
          <w:p w14:paraId="21D30E98" w14:textId="1B9688F2" w:rsidR="00B40903" w:rsidRPr="00697D59" w:rsidRDefault="006A61C3" w:rsidP="00B40903">
            <w:pPr>
              <w:rPr>
                <w:rFonts w:cs="Times New Roman"/>
              </w:rPr>
            </w:pPr>
            <w:proofErr w:type="gramStart"/>
            <w:r>
              <w:rPr>
                <w:rFonts w:cs="Times New Roman"/>
              </w:rPr>
              <w:t>$</w:t>
            </w:r>
            <w:r w:rsidR="00B40903" w:rsidRPr="00697D59">
              <w:rPr>
                <w:rFonts w:cs="Times New Roman"/>
              </w:rPr>
              <w:t xml:space="preserve">  </w:t>
            </w:r>
            <w:r w:rsidR="00812E7B">
              <w:rPr>
                <w:rFonts w:cs="Times New Roman"/>
              </w:rPr>
              <w:t>839,946</w:t>
            </w:r>
            <w:proofErr w:type="gramEnd"/>
            <w:r w:rsidR="002F68F8">
              <w:rPr>
                <w:rFonts w:cs="Times New Roman"/>
              </w:rPr>
              <w:t xml:space="preserve"> (3%)</w:t>
            </w:r>
          </w:p>
        </w:tc>
      </w:tr>
      <w:tr w:rsidR="00C41D51" w14:paraId="4A44156B" w14:textId="77777777" w:rsidTr="00812E7B">
        <w:tc>
          <w:tcPr>
            <w:tcW w:w="2605" w:type="dxa"/>
            <w:vAlign w:val="center"/>
          </w:tcPr>
          <w:p w14:paraId="10352BAE" w14:textId="77777777" w:rsidR="00C41D51" w:rsidRPr="00C00DA6" w:rsidRDefault="00C41D51" w:rsidP="00B40903">
            <w:pPr>
              <w:rPr>
                <w:rFonts w:cs="Times New Roman"/>
                <w:b/>
                <w:i/>
              </w:rPr>
            </w:pPr>
          </w:p>
        </w:tc>
        <w:tc>
          <w:tcPr>
            <w:tcW w:w="6925" w:type="dxa"/>
          </w:tcPr>
          <w:p w14:paraId="62D96D54" w14:textId="77777777" w:rsidR="00C41D51" w:rsidRPr="00697D59" w:rsidRDefault="00C41D51" w:rsidP="00B40903">
            <w:pPr>
              <w:rPr>
                <w:rFonts w:cs="Times New Roman"/>
              </w:rPr>
            </w:pPr>
          </w:p>
        </w:tc>
      </w:tr>
      <w:tr w:rsidR="00C00DA6" w14:paraId="7DCFF305" w14:textId="77777777" w:rsidTr="00812E7B">
        <w:tc>
          <w:tcPr>
            <w:tcW w:w="2605" w:type="dxa"/>
            <w:vAlign w:val="center"/>
          </w:tcPr>
          <w:p w14:paraId="30F684E9" w14:textId="77777777" w:rsidR="00C00DA6" w:rsidRPr="00C00DA6" w:rsidRDefault="00C00DA6" w:rsidP="00B40903">
            <w:pPr>
              <w:rPr>
                <w:rFonts w:cs="Times New Roman"/>
                <w:b/>
                <w:i/>
              </w:rPr>
            </w:pPr>
            <w:r w:rsidRPr="00C00DA6">
              <w:rPr>
                <w:rFonts w:cs="Times New Roman"/>
                <w:b/>
                <w:i/>
              </w:rPr>
              <w:t xml:space="preserve">Application Notes </w:t>
            </w:r>
          </w:p>
        </w:tc>
        <w:tc>
          <w:tcPr>
            <w:tcW w:w="6925" w:type="dxa"/>
          </w:tcPr>
          <w:p w14:paraId="7C55ACB7" w14:textId="77777777" w:rsidR="00C00DA6" w:rsidRPr="00697D59" w:rsidRDefault="00C00DA6" w:rsidP="00B40903">
            <w:pPr>
              <w:rPr>
                <w:rFonts w:cs="Times New Roman"/>
              </w:rPr>
            </w:pPr>
          </w:p>
        </w:tc>
      </w:tr>
      <w:tr w:rsidR="005E5120" w14:paraId="48C4AE67" w14:textId="77777777" w:rsidTr="00812E7B">
        <w:tc>
          <w:tcPr>
            <w:tcW w:w="2605" w:type="dxa"/>
            <w:vAlign w:val="center"/>
          </w:tcPr>
          <w:p w14:paraId="2381DA46" w14:textId="072DD52F" w:rsidR="005E5120" w:rsidRPr="00697D59" w:rsidRDefault="005E5120" w:rsidP="00B40903">
            <w:pPr>
              <w:rPr>
                <w:rFonts w:cs="Times New Roman"/>
              </w:rPr>
            </w:pPr>
            <w:r>
              <w:rPr>
                <w:rFonts w:cs="Times New Roman"/>
              </w:rPr>
              <w:t>Eligible Applicants</w:t>
            </w:r>
          </w:p>
        </w:tc>
        <w:tc>
          <w:tcPr>
            <w:tcW w:w="6925" w:type="dxa"/>
          </w:tcPr>
          <w:p w14:paraId="479F63CE" w14:textId="63BCA22C" w:rsidR="005E5120" w:rsidRPr="00B17977" w:rsidRDefault="005E5120" w:rsidP="00B40903">
            <w:pPr>
              <w:rPr>
                <w:rFonts w:cs="Times New Roman"/>
              </w:rPr>
            </w:pPr>
            <w:r w:rsidRPr="00B17977">
              <w:rPr>
                <w:rFonts w:cs="Times New Roman"/>
              </w:rPr>
              <w:t xml:space="preserve">The FY21 NOFO adds </w:t>
            </w:r>
            <w:r w:rsidR="00B17977" w:rsidRPr="00B17977">
              <w:t>Indian Tribes or tribally designated</w:t>
            </w:r>
            <w:r w:rsidR="00B17977" w:rsidRPr="00B17977">
              <w:rPr>
                <w:spacing w:val="1"/>
              </w:rPr>
              <w:t xml:space="preserve"> </w:t>
            </w:r>
            <w:r w:rsidR="00B17977" w:rsidRPr="00B17977">
              <w:t>housing entities</w:t>
            </w:r>
            <w:r w:rsidR="00B17977">
              <w:t xml:space="preserve"> </w:t>
            </w:r>
            <w:r w:rsidR="00B17977">
              <w:lastRenderedPageBreak/>
              <w:t>as</w:t>
            </w:r>
            <w:r w:rsidR="00B17977" w:rsidRPr="00B17977">
              <w:t xml:space="preserve"> eligible CoC applicants</w:t>
            </w:r>
            <w:r w:rsidR="00600282">
              <w:t>.</w:t>
            </w:r>
          </w:p>
        </w:tc>
      </w:tr>
      <w:tr w:rsidR="00B40903" w14:paraId="6AAF04C2" w14:textId="77777777" w:rsidTr="00812E7B">
        <w:tc>
          <w:tcPr>
            <w:tcW w:w="2605" w:type="dxa"/>
            <w:vAlign w:val="center"/>
          </w:tcPr>
          <w:p w14:paraId="2DAB017A" w14:textId="77777777" w:rsidR="00B40903" w:rsidRPr="00697D59" w:rsidRDefault="00B40903" w:rsidP="00B40903">
            <w:pPr>
              <w:rPr>
                <w:rFonts w:cs="Times New Roman"/>
              </w:rPr>
            </w:pPr>
            <w:r w:rsidRPr="00697D59">
              <w:rPr>
                <w:rFonts w:cs="Times New Roman"/>
              </w:rPr>
              <w:lastRenderedPageBreak/>
              <w:t>Eligible Renewal Projects</w:t>
            </w:r>
          </w:p>
        </w:tc>
        <w:tc>
          <w:tcPr>
            <w:tcW w:w="6925" w:type="dxa"/>
          </w:tcPr>
          <w:p w14:paraId="14646623" w14:textId="01A391CF" w:rsidR="00B40903" w:rsidRPr="00697D59" w:rsidRDefault="00B40903" w:rsidP="00B40903">
            <w:pPr>
              <w:rPr>
                <w:rFonts w:cs="Times New Roman"/>
              </w:rPr>
            </w:pPr>
            <w:r w:rsidRPr="00697D59">
              <w:rPr>
                <w:rFonts w:cs="Times New Roman"/>
              </w:rPr>
              <w:t xml:space="preserve">Only projects on the approved Grant Inventory Worksheet (GIW), </w:t>
            </w:r>
            <w:r w:rsidR="008E09F5">
              <w:rPr>
                <w:rFonts w:cs="Times New Roman"/>
              </w:rPr>
              <w:t>expiring in 2021</w:t>
            </w:r>
            <w:r w:rsidRPr="00697D59">
              <w:rPr>
                <w:rFonts w:cs="Times New Roman"/>
              </w:rPr>
              <w:t xml:space="preserve"> are eligible to apply for renewal funds. Renewal applications are not guaranteed funding. All projects are subject to review and scoring. Projects listed on the GIW for the first time cannot be reallocated.</w:t>
            </w:r>
          </w:p>
        </w:tc>
      </w:tr>
      <w:tr w:rsidR="00B40903" w14:paraId="6D3A7F35" w14:textId="77777777" w:rsidTr="00812E7B">
        <w:tc>
          <w:tcPr>
            <w:tcW w:w="2605" w:type="dxa"/>
            <w:vAlign w:val="center"/>
          </w:tcPr>
          <w:p w14:paraId="57568195" w14:textId="77777777" w:rsidR="00B40903" w:rsidRPr="00697D59" w:rsidRDefault="006A61C3" w:rsidP="009B190C">
            <w:pPr>
              <w:rPr>
                <w:rFonts w:cs="Times New Roman"/>
              </w:rPr>
            </w:pPr>
            <w:r>
              <w:rPr>
                <w:rFonts w:cs="Times New Roman"/>
              </w:rPr>
              <w:t>P</w:t>
            </w:r>
            <w:r w:rsidR="00B40903" w:rsidRPr="00697D59">
              <w:rPr>
                <w:rFonts w:cs="Times New Roman"/>
              </w:rPr>
              <w:t xml:space="preserve">roject </w:t>
            </w:r>
            <w:r w:rsidR="009B190C">
              <w:rPr>
                <w:rFonts w:cs="Times New Roman"/>
              </w:rPr>
              <w:t>T</w:t>
            </w:r>
            <w:r w:rsidR="00B40903" w:rsidRPr="00697D59">
              <w:rPr>
                <w:rFonts w:cs="Times New Roman"/>
              </w:rPr>
              <w:t>ypes</w:t>
            </w:r>
          </w:p>
        </w:tc>
        <w:tc>
          <w:tcPr>
            <w:tcW w:w="6925" w:type="dxa"/>
          </w:tcPr>
          <w:p w14:paraId="5BE41433" w14:textId="280A6AC5" w:rsidR="008E09F5" w:rsidRDefault="006A61C3" w:rsidP="001F2CAA">
            <w:pPr>
              <w:rPr>
                <w:rFonts w:cs="Times New Roman"/>
              </w:rPr>
            </w:pPr>
            <w:r w:rsidRPr="00812E7B">
              <w:rPr>
                <w:rFonts w:cs="Times New Roman"/>
                <w:i/>
              </w:rPr>
              <w:t>Renewal Projects</w:t>
            </w:r>
            <w:r>
              <w:rPr>
                <w:rFonts w:cs="Times New Roman"/>
              </w:rPr>
              <w:t>: Permanent Supportive Housing, Rapid Rehousing,</w:t>
            </w:r>
            <w:r w:rsidR="00B40903" w:rsidRPr="00697D59">
              <w:rPr>
                <w:rFonts w:cs="Times New Roman"/>
              </w:rPr>
              <w:t xml:space="preserve"> Transition</w:t>
            </w:r>
            <w:r>
              <w:rPr>
                <w:rFonts w:cs="Times New Roman"/>
              </w:rPr>
              <w:t>al Housing, Safe Haven, Joint (RRH+TH), Homeless Management of Information System (HMIS)</w:t>
            </w:r>
            <w:r w:rsidR="008125C5">
              <w:rPr>
                <w:rFonts w:cs="Times New Roman"/>
              </w:rPr>
              <w:t>; Youth</w:t>
            </w:r>
            <w:r w:rsidR="004F3D95">
              <w:rPr>
                <w:rFonts w:cs="Times New Roman"/>
              </w:rPr>
              <w:t xml:space="preserve"> Homelessness</w:t>
            </w:r>
            <w:r w:rsidR="008125C5">
              <w:rPr>
                <w:rFonts w:cs="Times New Roman"/>
              </w:rPr>
              <w:t xml:space="preserve"> Demonstration Projects </w:t>
            </w:r>
            <w:r w:rsidR="004F3D95">
              <w:rPr>
                <w:rFonts w:cs="Times New Roman"/>
              </w:rPr>
              <w:t>(YHDP</w:t>
            </w:r>
            <w:r w:rsidR="008E09F5">
              <w:rPr>
                <w:rFonts w:cs="Times New Roman"/>
              </w:rPr>
              <w:t>)</w:t>
            </w:r>
            <w:r w:rsidR="00812E7B">
              <w:rPr>
                <w:rFonts w:cs="Times New Roman"/>
              </w:rPr>
              <w:t>; YHDP Replacement Grants;  SSO-CES</w:t>
            </w:r>
            <w:r w:rsidR="008E09F5">
              <w:rPr>
                <w:rFonts w:cs="Times New Roman"/>
              </w:rPr>
              <w:t xml:space="preserve"> </w:t>
            </w:r>
            <w:r w:rsidR="00303824" w:rsidDel="00303824">
              <w:rPr>
                <w:rFonts w:cs="Times New Roman"/>
              </w:rPr>
              <w:t xml:space="preserve"> </w:t>
            </w:r>
          </w:p>
          <w:p w14:paraId="6150A0ED" w14:textId="790E05FD" w:rsidR="00B40903" w:rsidRPr="00697D59" w:rsidRDefault="006A61C3" w:rsidP="008E09F5">
            <w:pPr>
              <w:rPr>
                <w:rFonts w:cs="Times New Roman"/>
              </w:rPr>
            </w:pPr>
            <w:r w:rsidRPr="00812E7B">
              <w:rPr>
                <w:rFonts w:cs="Times New Roman"/>
                <w:i/>
              </w:rPr>
              <w:t>New Projects:</w:t>
            </w:r>
            <w:r>
              <w:rPr>
                <w:rFonts w:cs="Times New Roman"/>
              </w:rPr>
              <w:t xml:space="preserve"> </w:t>
            </w:r>
            <w:r w:rsidRPr="00697D59">
              <w:rPr>
                <w:rFonts w:cs="Times New Roman"/>
              </w:rPr>
              <w:t>Transition</w:t>
            </w:r>
            <w:r w:rsidR="00B40903" w:rsidRPr="00697D59">
              <w:rPr>
                <w:rFonts w:cs="Times New Roman"/>
              </w:rPr>
              <w:t xml:space="preserve"> Grant,</w:t>
            </w:r>
            <w:r>
              <w:rPr>
                <w:rFonts w:cs="Times New Roman"/>
              </w:rPr>
              <w:t xml:space="preserve"> </w:t>
            </w:r>
            <w:r w:rsidR="00B40903" w:rsidRPr="00697D59">
              <w:rPr>
                <w:rFonts w:cs="Times New Roman"/>
              </w:rPr>
              <w:t>Domestic Violence Bonus, Consolidated Projects</w:t>
            </w:r>
            <w:r>
              <w:rPr>
                <w:rFonts w:cs="Times New Roman"/>
              </w:rPr>
              <w:t xml:space="preserve">, Planning Grant, </w:t>
            </w:r>
            <w:r w:rsidR="008E09F5">
              <w:rPr>
                <w:rFonts w:cs="Times New Roman"/>
              </w:rPr>
              <w:t xml:space="preserve">Reallocated funds for </w:t>
            </w:r>
            <w:r>
              <w:rPr>
                <w:rFonts w:cs="Times New Roman"/>
              </w:rPr>
              <w:t>Expansion of Eligible Renewal Projects</w:t>
            </w:r>
            <w:r w:rsidR="00812E7B">
              <w:rPr>
                <w:rFonts w:cs="Times New Roman"/>
              </w:rPr>
              <w:t xml:space="preserve"> or New Projects</w:t>
            </w:r>
            <w:r>
              <w:rPr>
                <w:rFonts w:cs="Times New Roman"/>
              </w:rPr>
              <w:t xml:space="preserve"> (not including Safe Haven or </w:t>
            </w:r>
            <w:r w:rsidR="00B40903" w:rsidRPr="00697D59">
              <w:rPr>
                <w:rFonts w:cs="Times New Roman"/>
              </w:rPr>
              <w:t xml:space="preserve"> </w:t>
            </w:r>
            <w:r w:rsidR="009B190C">
              <w:rPr>
                <w:rFonts w:cs="Times New Roman"/>
              </w:rPr>
              <w:t>Transitional Housing).</w:t>
            </w:r>
          </w:p>
        </w:tc>
      </w:tr>
      <w:tr w:rsidR="009B190C" w14:paraId="144DC3EA" w14:textId="77777777" w:rsidTr="00812E7B">
        <w:tc>
          <w:tcPr>
            <w:tcW w:w="2605" w:type="dxa"/>
            <w:vAlign w:val="center"/>
          </w:tcPr>
          <w:p w14:paraId="3AC55E64" w14:textId="558C3028" w:rsidR="009B190C" w:rsidRPr="00697D59" w:rsidRDefault="009B190C" w:rsidP="00B40903">
            <w:pPr>
              <w:rPr>
                <w:rFonts w:cs="Times New Roman"/>
              </w:rPr>
            </w:pPr>
            <w:r>
              <w:rPr>
                <w:rFonts w:cs="Times New Roman"/>
              </w:rPr>
              <w:t>Youth Demonstration Grant Renewals</w:t>
            </w:r>
          </w:p>
        </w:tc>
        <w:tc>
          <w:tcPr>
            <w:tcW w:w="6925" w:type="dxa"/>
          </w:tcPr>
          <w:p w14:paraId="40C302C3" w14:textId="12B563AE" w:rsidR="009B190C" w:rsidRPr="003B00D1" w:rsidRDefault="00303824" w:rsidP="008E09F5">
            <w:pPr>
              <w:rPr>
                <w:rFonts w:cstheme="minorHAnsi"/>
              </w:rPr>
            </w:pPr>
            <w:r w:rsidRPr="003B00D1">
              <w:rPr>
                <w:rFonts w:eastAsia="Times New Roman" w:cstheme="minorHAnsi"/>
                <w:color w:val="222222"/>
              </w:rPr>
              <w:t>Youth Demonstrati</w:t>
            </w:r>
            <w:r w:rsidR="008E09F5" w:rsidRPr="003B00D1">
              <w:rPr>
                <w:rFonts w:eastAsia="Times New Roman" w:cstheme="minorHAnsi"/>
                <w:color w:val="222222"/>
              </w:rPr>
              <w:t xml:space="preserve">on (YHDP) grants awarded in 2020 are ‘held harmless’ for </w:t>
            </w:r>
            <w:r w:rsidR="008E09F5" w:rsidRPr="003B00D1">
              <w:rPr>
                <w:rFonts w:eastAsia="Times New Roman" w:cstheme="minorHAnsi"/>
                <w:color w:val="222222"/>
                <w:u w:val="single"/>
              </w:rPr>
              <w:t>eligible</w:t>
            </w:r>
            <w:r w:rsidR="008E09F5" w:rsidRPr="003B00D1">
              <w:rPr>
                <w:rFonts w:eastAsia="Times New Roman" w:cstheme="minorHAnsi"/>
                <w:color w:val="222222"/>
              </w:rPr>
              <w:t xml:space="preserve"> CoC activities.</w:t>
            </w:r>
            <w:r w:rsidRPr="003B00D1">
              <w:rPr>
                <w:rFonts w:eastAsia="Times New Roman" w:cstheme="minorHAnsi"/>
                <w:color w:val="222222"/>
              </w:rPr>
              <w:t xml:space="preserve"> </w:t>
            </w:r>
            <w:r w:rsidR="008E09F5" w:rsidRPr="003B00D1">
              <w:rPr>
                <w:rFonts w:eastAsia="Times New Roman" w:cstheme="minorHAnsi"/>
                <w:color w:val="222222"/>
              </w:rPr>
              <w:t>YHDP Replacement grants can be used to replace grants with ineligible activities. YHDP rules for eligible costs are further defined.</w:t>
            </w:r>
            <w:r w:rsidR="00600282" w:rsidRPr="003B00D1">
              <w:rPr>
                <w:rFonts w:eastAsia="Times New Roman" w:cstheme="minorHAnsi"/>
                <w:color w:val="222222"/>
              </w:rPr>
              <w:t xml:space="preserve"> CoCs may not apply for prevention funds.</w:t>
            </w:r>
          </w:p>
        </w:tc>
      </w:tr>
      <w:tr w:rsidR="00812E7B" w14:paraId="3172CF0B" w14:textId="77777777" w:rsidTr="00812E7B">
        <w:tc>
          <w:tcPr>
            <w:tcW w:w="2605" w:type="dxa"/>
            <w:vAlign w:val="center"/>
          </w:tcPr>
          <w:p w14:paraId="1FAB87B8" w14:textId="5C7AE1D8" w:rsidR="00812E7B" w:rsidRPr="00697D59" w:rsidRDefault="00812E7B" w:rsidP="00B40903">
            <w:pPr>
              <w:rPr>
                <w:rFonts w:cs="Times New Roman"/>
              </w:rPr>
            </w:pPr>
            <w:r>
              <w:rPr>
                <w:rFonts w:cs="Times New Roman"/>
              </w:rPr>
              <w:t>DV Bonus Projects</w:t>
            </w:r>
          </w:p>
        </w:tc>
        <w:tc>
          <w:tcPr>
            <w:tcW w:w="6925" w:type="dxa"/>
          </w:tcPr>
          <w:p w14:paraId="12827297" w14:textId="2B02AFA7" w:rsidR="00812E7B" w:rsidRPr="00697D59" w:rsidRDefault="00812E7B" w:rsidP="00202E4A">
            <w:pPr>
              <w:rPr>
                <w:rFonts w:cs="Times New Roman"/>
              </w:rPr>
            </w:pPr>
            <w:r>
              <w:rPr>
                <w:rFonts w:cs="Times New Roman"/>
              </w:rPr>
              <w:t xml:space="preserve">New Funds for competitive RRH or Joint (TH+RRH) dedicated to 100% DV participants. Awarded based on local data and response to special NOFO questions.  </w:t>
            </w:r>
          </w:p>
        </w:tc>
      </w:tr>
      <w:tr w:rsidR="00B40903" w14:paraId="5D238346" w14:textId="77777777" w:rsidTr="00812E7B">
        <w:tc>
          <w:tcPr>
            <w:tcW w:w="2605" w:type="dxa"/>
            <w:vAlign w:val="center"/>
          </w:tcPr>
          <w:p w14:paraId="0661B005" w14:textId="77777777" w:rsidR="00B40903" w:rsidRPr="00697D59" w:rsidRDefault="00B40903" w:rsidP="00B40903">
            <w:pPr>
              <w:rPr>
                <w:rFonts w:cs="Times New Roman"/>
              </w:rPr>
            </w:pPr>
            <w:r w:rsidRPr="00697D59">
              <w:rPr>
                <w:rFonts w:cs="Times New Roman"/>
              </w:rPr>
              <w:t>Tier 2 Scoring</w:t>
            </w:r>
          </w:p>
        </w:tc>
        <w:tc>
          <w:tcPr>
            <w:tcW w:w="6925" w:type="dxa"/>
          </w:tcPr>
          <w:p w14:paraId="6CAA5248" w14:textId="2B15E6A5" w:rsidR="00B40903" w:rsidRPr="00697D59" w:rsidRDefault="00B40903" w:rsidP="00202E4A">
            <w:pPr>
              <w:rPr>
                <w:rFonts w:cs="Times New Roman"/>
              </w:rPr>
            </w:pPr>
            <w:r w:rsidRPr="00697D59">
              <w:rPr>
                <w:rFonts w:cs="Times New Roman"/>
              </w:rPr>
              <w:t xml:space="preserve">Tier 2 </w:t>
            </w:r>
            <w:r w:rsidR="00202E4A">
              <w:rPr>
                <w:rFonts w:cs="Times New Roman"/>
              </w:rPr>
              <w:t xml:space="preserve">Scoring formula </w:t>
            </w:r>
            <w:r w:rsidRPr="00697D59">
              <w:rPr>
                <w:rFonts w:cs="Times New Roman"/>
              </w:rPr>
              <w:t xml:space="preserve">include </w:t>
            </w:r>
            <w:r w:rsidR="00202E4A">
              <w:rPr>
                <w:rFonts w:cs="Times New Roman"/>
              </w:rPr>
              <w:t xml:space="preserve">differences </w:t>
            </w:r>
            <w:r w:rsidRPr="00697D59">
              <w:rPr>
                <w:rFonts w:cs="Times New Roman"/>
              </w:rPr>
              <w:t>based on project type.</w:t>
            </w:r>
            <w:r w:rsidR="001F2CAA">
              <w:rPr>
                <w:rFonts w:cs="Times New Roman"/>
              </w:rPr>
              <w:t xml:space="preserve"> The CoC Application score </w:t>
            </w:r>
            <w:r w:rsidR="00D248F9">
              <w:rPr>
                <w:rFonts w:cs="Times New Roman"/>
              </w:rPr>
              <w:t>i</w:t>
            </w:r>
            <w:r w:rsidR="00812E7B">
              <w:rPr>
                <w:rFonts w:cs="Times New Roman"/>
              </w:rPr>
              <w:t>s a major factor in the scoring (50%)</w:t>
            </w:r>
          </w:p>
        </w:tc>
      </w:tr>
      <w:tr w:rsidR="00B40903" w14:paraId="76552A60" w14:textId="77777777" w:rsidTr="00812E7B">
        <w:tc>
          <w:tcPr>
            <w:tcW w:w="2605" w:type="dxa"/>
            <w:vAlign w:val="center"/>
          </w:tcPr>
          <w:p w14:paraId="366FFCA8" w14:textId="77777777" w:rsidR="00B40903" w:rsidRDefault="00B40903" w:rsidP="00B40903">
            <w:pPr>
              <w:rPr>
                <w:rFonts w:cs="Times New Roman"/>
              </w:rPr>
            </w:pPr>
            <w:r w:rsidRPr="00697D59">
              <w:rPr>
                <w:rFonts w:cs="Times New Roman"/>
              </w:rPr>
              <w:t>System Mandates</w:t>
            </w:r>
            <w:r w:rsidR="007F2672">
              <w:rPr>
                <w:rFonts w:cs="Times New Roman"/>
              </w:rPr>
              <w:t>;</w:t>
            </w:r>
          </w:p>
          <w:p w14:paraId="013C85E9" w14:textId="6F5495CF" w:rsidR="007F2672" w:rsidRPr="00697D59" w:rsidRDefault="008E09F5" w:rsidP="008E09F5">
            <w:pPr>
              <w:rPr>
                <w:rFonts w:cs="Times New Roman"/>
              </w:rPr>
            </w:pPr>
            <w:r>
              <w:rPr>
                <w:rFonts w:cs="Times New Roman"/>
              </w:rPr>
              <w:t xml:space="preserve">Return of </w:t>
            </w:r>
            <w:r w:rsidR="007F2672">
              <w:rPr>
                <w:rFonts w:cs="Times New Roman"/>
              </w:rPr>
              <w:t>Housing First Requirement</w:t>
            </w:r>
          </w:p>
        </w:tc>
        <w:tc>
          <w:tcPr>
            <w:tcW w:w="6925" w:type="dxa"/>
          </w:tcPr>
          <w:p w14:paraId="09E9FD10" w14:textId="77777777" w:rsidR="00B40903" w:rsidRDefault="00B40903" w:rsidP="00B40903">
            <w:pPr>
              <w:rPr>
                <w:rFonts w:cs="Times New Roman"/>
              </w:rPr>
            </w:pPr>
            <w:r w:rsidRPr="00697D59">
              <w:rPr>
                <w:rFonts w:cs="Times New Roman"/>
              </w:rPr>
              <w:t>HMIS, Coordinated Entry System (CES), Housing First and Low Barrier housing approaches, RTFH Written Standards, VAWA, and regulatory assurances</w:t>
            </w:r>
            <w:r w:rsidR="007F2672">
              <w:rPr>
                <w:rFonts w:cs="Times New Roman"/>
              </w:rPr>
              <w:t>.</w:t>
            </w:r>
          </w:p>
          <w:p w14:paraId="709DF1E1" w14:textId="77777777" w:rsidR="007F2672" w:rsidRPr="00697D59" w:rsidRDefault="007F2672" w:rsidP="00FB00E8">
            <w:pPr>
              <w:rPr>
                <w:rFonts w:cs="Times New Roman"/>
              </w:rPr>
            </w:pPr>
            <w:r>
              <w:rPr>
                <w:rFonts w:cs="Times New Roman"/>
              </w:rPr>
              <w:t xml:space="preserve">HUD has clarified the expectations </w:t>
            </w:r>
            <w:r w:rsidR="00FB00E8">
              <w:rPr>
                <w:rFonts w:cs="Times New Roman"/>
              </w:rPr>
              <w:t xml:space="preserve">for meeting </w:t>
            </w:r>
            <w:r>
              <w:rPr>
                <w:rFonts w:cs="Times New Roman"/>
              </w:rPr>
              <w:t>Housing F</w:t>
            </w:r>
            <w:r w:rsidR="00FB00E8">
              <w:rPr>
                <w:rFonts w:cs="Times New Roman"/>
              </w:rPr>
              <w:t>irst requirements for participation In supportive services while residing in CoC programs.   Watch local CoC announcements for detail.</w:t>
            </w:r>
          </w:p>
        </w:tc>
      </w:tr>
      <w:tr w:rsidR="00B40903" w14:paraId="72877570" w14:textId="77777777" w:rsidTr="00812E7B">
        <w:tc>
          <w:tcPr>
            <w:tcW w:w="2605" w:type="dxa"/>
            <w:vAlign w:val="center"/>
          </w:tcPr>
          <w:p w14:paraId="4085A213" w14:textId="77777777" w:rsidR="00B40903" w:rsidRPr="00697D59" w:rsidRDefault="00B40903" w:rsidP="00B40903">
            <w:pPr>
              <w:rPr>
                <w:rFonts w:cs="Times New Roman"/>
              </w:rPr>
            </w:pPr>
            <w:r w:rsidRPr="00697D59">
              <w:rPr>
                <w:rFonts w:cs="Times New Roman"/>
              </w:rPr>
              <w:t xml:space="preserve">Forms requirements </w:t>
            </w:r>
          </w:p>
        </w:tc>
        <w:tc>
          <w:tcPr>
            <w:tcW w:w="6925" w:type="dxa"/>
          </w:tcPr>
          <w:p w14:paraId="61A78433" w14:textId="77777777" w:rsidR="00B40903" w:rsidRPr="00697D59" w:rsidRDefault="00B40903" w:rsidP="00B40903">
            <w:pPr>
              <w:rPr>
                <w:rFonts w:cs="Times New Roman"/>
              </w:rPr>
            </w:pPr>
            <w:r w:rsidRPr="00697D59">
              <w:rPr>
                <w:rFonts w:cs="Times New Roman"/>
              </w:rPr>
              <w:t xml:space="preserve">Forms are required prior to accessing the application in e-Snaps. </w:t>
            </w:r>
          </w:p>
        </w:tc>
      </w:tr>
      <w:tr w:rsidR="00B40903" w14:paraId="16E19F9F" w14:textId="77777777" w:rsidTr="00812E7B">
        <w:tc>
          <w:tcPr>
            <w:tcW w:w="2605" w:type="dxa"/>
            <w:vAlign w:val="center"/>
          </w:tcPr>
          <w:p w14:paraId="51B12C84" w14:textId="77777777" w:rsidR="00B40903" w:rsidRPr="00697D59" w:rsidRDefault="00B40903" w:rsidP="00B40903">
            <w:pPr>
              <w:rPr>
                <w:rFonts w:cs="Times New Roman"/>
              </w:rPr>
            </w:pPr>
            <w:r w:rsidRPr="00697D59">
              <w:rPr>
                <w:rFonts w:cs="Times New Roman"/>
              </w:rPr>
              <w:t>Code of Conduct Updates</w:t>
            </w:r>
          </w:p>
        </w:tc>
        <w:tc>
          <w:tcPr>
            <w:tcW w:w="6925" w:type="dxa"/>
          </w:tcPr>
          <w:p w14:paraId="1505B446" w14:textId="721DBF58" w:rsidR="00B40903" w:rsidRPr="00697D59" w:rsidRDefault="00B40903" w:rsidP="00C41D51">
            <w:pPr>
              <w:rPr>
                <w:rFonts w:cs="Times New Roman"/>
              </w:rPr>
            </w:pPr>
            <w:r w:rsidRPr="00697D59">
              <w:rPr>
                <w:rFonts w:cs="Times New Roman"/>
              </w:rPr>
              <w:t>Codes of conduct forms</w:t>
            </w:r>
            <w:r w:rsidR="00C41D51">
              <w:rPr>
                <w:rFonts w:cs="Times New Roman"/>
              </w:rPr>
              <w:t xml:space="preserve"> compliant with regulatory assurances</w:t>
            </w:r>
            <w:r w:rsidR="008E09F5">
              <w:rPr>
                <w:rFonts w:cs="Times New Roman"/>
              </w:rPr>
              <w:t xml:space="preserve"> under 2 CFR part 200</w:t>
            </w:r>
            <w:r w:rsidR="00C41D51">
              <w:rPr>
                <w:rFonts w:cs="Times New Roman"/>
              </w:rPr>
              <w:t xml:space="preserve"> </w:t>
            </w:r>
            <w:r w:rsidRPr="00697D59">
              <w:rPr>
                <w:rFonts w:cs="Times New Roman"/>
              </w:rPr>
              <w:t>are</w:t>
            </w:r>
            <w:r w:rsidR="00C41D51">
              <w:rPr>
                <w:rFonts w:cs="Times New Roman"/>
              </w:rPr>
              <w:t xml:space="preserve"> included the applicant profile and must be on file with HUD.</w:t>
            </w:r>
          </w:p>
        </w:tc>
      </w:tr>
      <w:tr w:rsidR="00B40903" w14:paraId="164085E0" w14:textId="77777777" w:rsidTr="00812E7B">
        <w:tc>
          <w:tcPr>
            <w:tcW w:w="2605" w:type="dxa"/>
            <w:vAlign w:val="center"/>
          </w:tcPr>
          <w:p w14:paraId="68B56775" w14:textId="77777777" w:rsidR="00B40903" w:rsidRPr="00697D59" w:rsidRDefault="00B40903" w:rsidP="00B40903">
            <w:pPr>
              <w:rPr>
                <w:rFonts w:cs="Times New Roman"/>
              </w:rPr>
            </w:pPr>
            <w:r w:rsidRPr="00697D59">
              <w:rPr>
                <w:rFonts w:cs="Times New Roman"/>
              </w:rPr>
              <w:t>System Award Management  (SAMs) and Data Unique Numbering System (DUNS)</w:t>
            </w:r>
          </w:p>
        </w:tc>
        <w:tc>
          <w:tcPr>
            <w:tcW w:w="6925" w:type="dxa"/>
          </w:tcPr>
          <w:p w14:paraId="124EE566" w14:textId="73B8D076" w:rsidR="00B40903" w:rsidRPr="00697D59" w:rsidRDefault="00B40903" w:rsidP="00B40903">
            <w:pPr>
              <w:rPr>
                <w:rFonts w:cs="Times New Roman"/>
              </w:rPr>
            </w:pPr>
            <w:r w:rsidRPr="00697D59">
              <w:rPr>
                <w:rFonts w:cs="Times New Roman"/>
              </w:rPr>
              <w:t>All applicants must have a Data Universal Numbering System (DUNS) number and have a current, active registration in the System for Award Management (SAM)</w:t>
            </w:r>
            <w:r w:rsidR="0045614E">
              <w:rPr>
                <w:rFonts w:cs="Times New Roman"/>
              </w:rPr>
              <w:t>.</w:t>
            </w:r>
            <w:r w:rsidR="00D248F9">
              <w:rPr>
                <w:rFonts w:cs="Times New Roman"/>
              </w:rPr>
              <w:t xml:space="preserve">  The registration must remain active until grant awards are made which i</w:t>
            </w:r>
            <w:r w:rsidR="008E09F5">
              <w:rPr>
                <w:rFonts w:cs="Times New Roman"/>
              </w:rPr>
              <w:t>s anticipated to be January 2022</w:t>
            </w:r>
            <w:r w:rsidR="00D248F9">
              <w:rPr>
                <w:rFonts w:cs="Times New Roman"/>
              </w:rPr>
              <w:t>.</w:t>
            </w:r>
          </w:p>
          <w:p w14:paraId="77C33120" w14:textId="06EFC51A" w:rsidR="00B40903" w:rsidRPr="00697D59" w:rsidRDefault="00B40903" w:rsidP="008E09F5">
            <w:pPr>
              <w:rPr>
                <w:rFonts w:cs="Times New Roman"/>
              </w:rPr>
            </w:pPr>
            <w:r w:rsidRPr="00697D59">
              <w:rPr>
                <w:rFonts w:cs="Times New Roman"/>
              </w:rPr>
              <w:t xml:space="preserve">SAMs </w:t>
            </w:r>
            <w:r w:rsidR="00812E7B">
              <w:rPr>
                <w:rFonts w:cs="Times New Roman"/>
              </w:rPr>
              <w:t>continues to be needed for 2021 NOFO.</w:t>
            </w:r>
          </w:p>
        </w:tc>
      </w:tr>
      <w:tr w:rsidR="00B40903" w14:paraId="3DB36839" w14:textId="77777777" w:rsidTr="00812E7B">
        <w:tc>
          <w:tcPr>
            <w:tcW w:w="2605" w:type="dxa"/>
            <w:vAlign w:val="center"/>
          </w:tcPr>
          <w:p w14:paraId="445C8F8F" w14:textId="77777777" w:rsidR="00B40903" w:rsidRPr="00697D59" w:rsidRDefault="00B40903" w:rsidP="00B40903">
            <w:pPr>
              <w:rPr>
                <w:rFonts w:cs="Times New Roman"/>
              </w:rPr>
            </w:pPr>
            <w:r w:rsidRPr="00697D59">
              <w:rPr>
                <w:rFonts w:cs="Times New Roman"/>
              </w:rPr>
              <w:t>Environmental Review</w:t>
            </w:r>
          </w:p>
        </w:tc>
        <w:tc>
          <w:tcPr>
            <w:tcW w:w="6925" w:type="dxa"/>
          </w:tcPr>
          <w:p w14:paraId="2DFC28BB" w14:textId="57A48CCD" w:rsidR="00B40903" w:rsidRPr="00697D59" w:rsidRDefault="00303824" w:rsidP="007F2672">
            <w:pPr>
              <w:rPr>
                <w:rFonts w:cs="Times New Roman"/>
              </w:rPr>
            </w:pPr>
            <w:r>
              <w:rPr>
                <w:rFonts w:cs="Times New Roman"/>
              </w:rPr>
              <w:t xml:space="preserve">Compliance with </w:t>
            </w:r>
            <w:r w:rsidR="007F2672">
              <w:rPr>
                <w:rFonts w:cs="Times New Roman"/>
              </w:rPr>
              <w:t xml:space="preserve">Environmental Review </w:t>
            </w:r>
            <w:r>
              <w:rPr>
                <w:rFonts w:cs="Times New Roman"/>
              </w:rPr>
              <w:t>r</w:t>
            </w:r>
            <w:r w:rsidR="007F2672">
              <w:rPr>
                <w:rFonts w:cs="Times New Roman"/>
              </w:rPr>
              <w:t>equirements</w:t>
            </w:r>
            <w:r w:rsidR="00B40903" w:rsidRPr="00697D59">
              <w:rPr>
                <w:rFonts w:cs="Times New Roman"/>
              </w:rPr>
              <w:t xml:space="preserve"> </w:t>
            </w:r>
            <w:r>
              <w:rPr>
                <w:rFonts w:cs="Times New Roman"/>
              </w:rPr>
              <w:t>is necessary in order for projects to receive funds.  Refer to the CoC N</w:t>
            </w:r>
            <w:r w:rsidR="008E09F5">
              <w:rPr>
                <w:rFonts w:cs="Times New Roman"/>
              </w:rPr>
              <w:t xml:space="preserve">otice and training from May, </w:t>
            </w:r>
            <w:r w:rsidR="00812E7B">
              <w:rPr>
                <w:rFonts w:cs="Times New Roman"/>
              </w:rPr>
              <w:t>2020.</w:t>
            </w:r>
          </w:p>
        </w:tc>
      </w:tr>
      <w:tr w:rsidR="00B17977" w14:paraId="6AA7BECC" w14:textId="77777777" w:rsidTr="00812E7B">
        <w:tc>
          <w:tcPr>
            <w:tcW w:w="2605" w:type="dxa"/>
            <w:vAlign w:val="center"/>
          </w:tcPr>
          <w:p w14:paraId="3923B5AA" w14:textId="3EC0F283" w:rsidR="00B17977" w:rsidRPr="00697D59" w:rsidRDefault="00B17977" w:rsidP="00B40903">
            <w:pPr>
              <w:rPr>
                <w:rFonts w:cs="Times New Roman"/>
              </w:rPr>
            </w:pPr>
            <w:r>
              <w:rPr>
                <w:rFonts w:cs="Times New Roman"/>
              </w:rPr>
              <w:t>NOFO Notes</w:t>
            </w:r>
          </w:p>
        </w:tc>
        <w:tc>
          <w:tcPr>
            <w:tcW w:w="6925" w:type="dxa"/>
          </w:tcPr>
          <w:p w14:paraId="29FD04A4" w14:textId="15668866" w:rsidR="00B17977" w:rsidRDefault="00B17977" w:rsidP="007F2672">
            <w:pPr>
              <w:rPr>
                <w:rFonts w:cs="Times New Roman"/>
              </w:rPr>
            </w:pPr>
            <w:r>
              <w:rPr>
                <w:rFonts w:cs="Times New Roman"/>
              </w:rPr>
              <w:t xml:space="preserve">Emphasis on housing and health; racial equity; CoC and Housing Authority or mainstream resource partnerships; </w:t>
            </w:r>
          </w:p>
        </w:tc>
      </w:tr>
      <w:tr w:rsidR="00B40903" w14:paraId="17BCD3B0" w14:textId="77777777" w:rsidTr="00812E7B">
        <w:tc>
          <w:tcPr>
            <w:tcW w:w="2605" w:type="dxa"/>
            <w:vAlign w:val="center"/>
          </w:tcPr>
          <w:p w14:paraId="26B227D4" w14:textId="77777777" w:rsidR="00B40903" w:rsidRPr="00697D59" w:rsidRDefault="00B40903" w:rsidP="00B40903">
            <w:pPr>
              <w:rPr>
                <w:rFonts w:cs="Times New Roman"/>
                <w:b/>
                <w:i/>
              </w:rPr>
            </w:pPr>
            <w:r w:rsidRPr="00697D59">
              <w:rPr>
                <w:rFonts w:cs="Times New Roman"/>
                <w:b/>
                <w:i/>
              </w:rPr>
              <w:t>Local Process</w:t>
            </w:r>
          </w:p>
        </w:tc>
        <w:tc>
          <w:tcPr>
            <w:tcW w:w="6925" w:type="dxa"/>
          </w:tcPr>
          <w:p w14:paraId="1BAEB0AE" w14:textId="77777777" w:rsidR="00B40903" w:rsidRPr="00697D59" w:rsidRDefault="00B40903" w:rsidP="00B40903">
            <w:pPr>
              <w:rPr>
                <w:rFonts w:cs="Times New Roman"/>
                <w:b/>
                <w:i/>
              </w:rPr>
            </w:pPr>
            <w:r w:rsidRPr="00697D59">
              <w:rPr>
                <w:rFonts w:cs="Times New Roman"/>
                <w:b/>
                <w:i/>
              </w:rPr>
              <w:t>Watch for information distributed via website or email.</w:t>
            </w:r>
          </w:p>
        </w:tc>
      </w:tr>
    </w:tbl>
    <w:p w14:paraId="1161C5B5" w14:textId="77777777" w:rsidR="00995177" w:rsidRPr="00750828" w:rsidRDefault="00995177" w:rsidP="008E09F5">
      <w:pPr>
        <w:pStyle w:val="Heading2"/>
        <w:rPr>
          <w:rFonts w:ascii="Arial" w:eastAsia="Times New Roman" w:hAnsi="Arial" w:cs="Arial"/>
          <w:color w:val="222222"/>
          <w:sz w:val="21"/>
          <w:szCs w:val="21"/>
        </w:rPr>
      </w:pPr>
    </w:p>
    <w:sectPr w:rsidR="00995177" w:rsidRPr="00750828" w:rsidSect="00812E7B">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52130" w14:textId="77777777" w:rsidR="00216EEE" w:rsidRDefault="00216EEE" w:rsidP="00903487">
      <w:pPr>
        <w:spacing w:after="0" w:line="240" w:lineRule="auto"/>
      </w:pPr>
      <w:r>
        <w:separator/>
      </w:r>
    </w:p>
  </w:endnote>
  <w:endnote w:type="continuationSeparator" w:id="0">
    <w:p w14:paraId="423F2DA6" w14:textId="77777777" w:rsidR="00216EEE" w:rsidRDefault="00216EEE" w:rsidP="0090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61319004"/>
      <w:placeholder>
        <w:docPart w:val="EFDCC1444E224A9E84D7A62E4311C36D"/>
      </w:placeholder>
      <w:dataBinding w:prefixMappings="xmlns:ns0='http://purl.org/dc/elements/1.1/' xmlns:ns1='http://schemas.openxmlformats.org/package/2006/metadata/core-properties' " w:xpath="/ns1:coreProperties[1]/ns0:title[1]" w:storeItemID="{6C3C8BC8-F283-45AE-878A-BAB7291924A1}"/>
      <w:text/>
    </w:sdtPr>
    <w:sdtEndPr/>
    <w:sdtContent>
      <w:p w14:paraId="7BCB1A5C" w14:textId="505748ED" w:rsidR="009D4BF0" w:rsidRDefault="00B01DB4">
        <w:pPr>
          <w:pStyle w:val="Footer"/>
        </w:pPr>
        <w:r>
          <w:t>8.18.21 Notice- FY2021</w:t>
        </w:r>
        <w:r w:rsidR="0045614E">
          <w:t xml:space="preserve"> NOFA Release</w:t>
        </w:r>
      </w:p>
    </w:sdtContent>
  </w:sdt>
  <w:p w14:paraId="39BF3688" w14:textId="77777777" w:rsidR="00903487" w:rsidRPr="007F50D0" w:rsidRDefault="00903487" w:rsidP="007F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136D" w14:textId="77777777" w:rsidR="00216EEE" w:rsidRDefault="00216EEE" w:rsidP="00903487">
      <w:pPr>
        <w:spacing w:after="0" w:line="240" w:lineRule="auto"/>
      </w:pPr>
      <w:r>
        <w:separator/>
      </w:r>
    </w:p>
  </w:footnote>
  <w:footnote w:type="continuationSeparator" w:id="0">
    <w:p w14:paraId="01853F76" w14:textId="77777777" w:rsidR="00216EEE" w:rsidRDefault="00216EEE" w:rsidP="00903487">
      <w:pPr>
        <w:spacing w:after="0" w:line="240" w:lineRule="auto"/>
      </w:pPr>
      <w:r>
        <w:continuationSeparator/>
      </w:r>
    </w:p>
  </w:footnote>
  <w:footnote w:id="1">
    <w:p w14:paraId="11F38DA5" w14:textId="0761369A" w:rsidR="00903487" w:rsidRPr="003B2823" w:rsidRDefault="00903487" w:rsidP="00903487">
      <w:pPr>
        <w:pStyle w:val="FootnoteText"/>
        <w:rPr>
          <w:sz w:val="18"/>
          <w:szCs w:val="18"/>
        </w:rPr>
      </w:pPr>
      <w:r w:rsidRPr="003B2823">
        <w:rPr>
          <w:rStyle w:val="FootnoteReference"/>
          <w:sz w:val="18"/>
          <w:szCs w:val="18"/>
        </w:rPr>
        <w:footnoteRef/>
      </w:r>
      <w:r w:rsidRPr="003B2823">
        <w:rPr>
          <w:sz w:val="18"/>
          <w:szCs w:val="18"/>
        </w:rPr>
        <w:t xml:space="preserve"> Th</w:t>
      </w:r>
      <w:r w:rsidR="00812E7B">
        <w:rPr>
          <w:sz w:val="18"/>
          <w:szCs w:val="18"/>
        </w:rPr>
        <w:t>is document excerpts or</w:t>
      </w:r>
      <w:r w:rsidRPr="003B2823">
        <w:rPr>
          <w:sz w:val="18"/>
          <w:szCs w:val="18"/>
        </w:rPr>
        <w:t xml:space="preserve"> copies sections from public documents released as </w:t>
      </w:r>
      <w:r w:rsidR="00C5306D">
        <w:rPr>
          <w:sz w:val="18"/>
          <w:szCs w:val="18"/>
        </w:rPr>
        <w:t xml:space="preserve">by </w:t>
      </w:r>
      <w:r w:rsidRPr="003B2823">
        <w:rPr>
          <w:sz w:val="18"/>
          <w:szCs w:val="18"/>
        </w:rPr>
        <w:t>HUD</w:t>
      </w:r>
      <w:r w:rsidR="00B01DB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2F44" w14:textId="33171BB0" w:rsidR="00903487" w:rsidRDefault="005E3A24" w:rsidP="005E3A24">
    <w:pPr>
      <w:pStyle w:val="Header"/>
    </w:pPr>
    <w:r>
      <w:rPr>
        <w:noProof/>
      </w:rPr>
      <w:drawing>
        <wp:inline distT="0" distB="0" distL="0" distR="0" wp14:anchorId="188DF1DA" wp14:editId="45DF52ED">
          <wp:extent cx="2031152" cy="413385"/>
          <wp:effectExtent l="0" t="0" r="7620" b="571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FH_Logo_RGB_revised (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5357" cy="430523"/>
                  </a:xfrm>
                  <a:prstGeom prst="rect">
                    <a:avLst/>
                  </a:prstGeom>
                </pic:spPr>
              </pic:pic>
            </a:graphicData>
          </a:graphic>
        </wp:inline>
      </w:drawing>
    </w:r>
    <w:r w:rsidR="006B07BC">
      <w:ptab w:relativeTo="margin" w:alignment="center" w:leader="none"/>
    </w:r>
    <w:r w:rsidR="006B07B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CEB"/>
    <w:multiLevelType w:val="hybridMultilevel"/>
    <w:tmpl w:val="74346620"/>
    <w:lvl w:ilvl="0" w:tplc="53BA9AB2">
      <w:numFmt w:val="bullet"/>
      <w:lvlText w:val=""/>
      <w:lvlJc w:val="left"/>
      <w:pPr>
        <w:ind w:left="826" w:hanging="360"/>
      </w:pPr>
      <w:rPr>
        <w:rFonts w:ascii="Symbol" w:eastAsia="Symbol" w:hAnsi="Symbol" w:cs="Symbol" w:hint="default"/>
        <w:w w:val="100"/>
        <w:sz w:val="24"/>
        <w:szCs w:val="24"/>
        <w:lang w:val="en-US" w:eastAsia="en-US" w:bidi="en-US"/>
      </w:rPr>
    </w:lvl>
    <w:lvl w:ilvl="1" w:tplc="2FA2BD38">
      <w:numFmt w:val="bullet"/>
      <w:lvlText w:val="•"/>
      <w:lvlJc w:val="left"/>
      <w:pPr>
        <w:ind w:left="1601" w:hanging="360"/>
      </w:pPr>
      <w:rPr>
        <w:rFonts w:hint="default"/>
        <w:lang w:val="en-US" w:eastAsia="en-US" w:bidi="en-US"/>
      </w:rPr>
    </w:lvl>
    <w:lvl w:ilvl="2" w:tplc="937473EE">
      <w:numFmt w:val="bullet"/>
      <w:lvlText w:val="•"/>
      <w:lvlJc w:val="left"/>
      <w:pPr>
        <w:ind w:left="2382" w:hanging="360"/>
      </w:pPr>
      <w:rPr>
        <w:rFonts w:hint="default"/>
        <w:lang w:val="en-US" w:eastAsia="en-US" w:bidi="en-US"/>
      </w:rPr>
    </w:lvl>
    <w:lvl w:ilvl="3" w:tplc="0CD0F6BE">
      <w:numFmt w:val="bullet"/>
      <w:lvlText w:val="•"/>
      <w:lvlJc w:val="left"/>
      <w:pPr>
        <w:ind w:left="3163" w:hanging="360"/>
      </w:pPr>
      <w:rPr>
        <w:rFonts w:hint="default"/>
        <w:lang w:val="en-US" w:eastAsia="en-US" w:bidi="en-US"/>
      </w:rPr>
    </w:lvl>
    <w:lvl w:ilvl="4" w:tplc="7ACAFF46">
      <w:numFmt w:val="bullet"/>
      <w:lvlText w:val="•"/>
      <w:lvlJc w:val="left"/>
      <w:pPr>
        <w:ind w:left="3944" w:hanging="360"/>
      </w:pPr>
      <w:rPr>
        <w:rFonts w:hint="default"/>
        <w:lang w:val="en-US" w:eastAsia="en-US" w:bidi="en-US"/>
      </w:rPr>
    </w:lvl>
    <w:lvl w:ilvl="5" w:tplc="C58409A6">
      <w:numFmt w:val="bullet"/>
      <w:lvlText w:val="•"/>
      <w:lvlJc w:val="left"/>
      <w:pPr>
        <w:ind w:left="4726" w:hanging="360"/>
      </w:pPr>
      <w:rPr>
        <w:rFonts w:hint="default"/>
        <w:lang w:val="en-US" w:eastAsia="en-US" w:bidi="en-US"/>
      </w:rPr>
    </w:lvl>
    <w:lvl w:ilvl="6" w:tplc="6DDC0A78">
      <w:numFmt w:val="bullet"/>
      <w:lvlText w:val="•"/>
      <w:lvlJc w:val="left"/>
      <w:pPr>
        <w:ind w:left="5507" w:hanging="360"/>
      </w:pPr>
      <w:rPr>
        <w:rFonts w:hint="default"/>
        <w:lang w:val="en-US" w:eastAsia="en-US" w:bidi="en-US"/>
      </w:rPr>
    </w:lvl>
    <w:lvl w:ilvl="7" w:tplc="1A405326">
      <w:numFmt w:val="bullet"/>
      <w:lvlText w:val="•"/>
      <w:lvlJc w:val="left"/>
      <w:pPr>
        <w:ind w:left="6288" w:hanging="360"/>
      </w:pPr>
      <w:rPr>
        <w:rFonts w:hint="default"/>
        <w:lang w:val="en-US" w:eastAsia="en-US" w:bidi="en-US"/>
      </w:rPr>
    </w:lvl>
    <w:lvl w:ilvl="8" w:tplc="61AA1948">
      <w:numFmt w:val="bullet"/>
      <w:lvlText w:val="•"/>
      <w:lvlJc w:val="left"/>
      <w:pPr>
        <w:ind w:left="7069" w:hanging="360"/>
      </w:pPr>
      <w:rPr>
        <w:rFonts w:hint="default"/>
        <w:lang w:val="en-US" w:eastAsia="en-US" w:bidi="en-US"/>
      </w:rPr>
    </w:lvl>
  </w:abstractNum>
  <w:abstractNum w:abstractNumId="1" w15:restartNumberingAfterBreak="0">
    <w:nsid w:val="0AC969E5"/>
    <w:multiLevelType w:val="hybridMultilevel"/>
    <w:tmpl w:val="9E9EAB26"/>
    <w:lvl w:ilvl="0" w:tplc="764262E6">
      <w:numFmt w:val="bullet"/>
      <w:lvlText w:val=""/>
      <w:lvlJc w:val="left"/>
      <w:pPr>
        <w:ind w:left="934" w:hanging="360"/>
      </w:pPr>
      <w:rPr>
        <w:rFonts w:ascii="Symbol" w:eastAsia="Symbol" w:hAnsi="Symbol" w:cs="Symbol" w:hint="default"/>
        <w:w w:val="100"/>
        <w:sz w:val="24"/>
        <w:szCs w:val="24"/>
        <w:lang w:val="en-US" w:eastAsia="en-US" w:bidi="en-US"/>
      </w:rPr>
    </w:lvl>
    <w:lvl w:ilvl="1" w:tplc="7F2AF738">
      <w:numFmt w:val="bullet"/>
      <w:lvlText w:val="•"/>
      <w:lvlJc w:val="left"/>
      <w:pPr>
        <w:ind w:left="1709" w:hanging="360"/>
      </w:pPr>
      <w:rPr>
        <w:rFonts w:hint="default"/>
        <w:lang w:val="en-US" w:eastAsia="en-US" w:bidi="en-US"/>
      </w:rPr>
    </w:lvl>
    <w:lvl w:ilvl="2" w:tplc="C2EC6D40">
      <w:numFmt w:val="bullet"/>
      <w:lvlText w:val="•"/>
      <w:lvlJc w:val="left"/>
      <w:pPr>
        <w:ind w:left="2478" w:hanging="360"/>
      </w:pPr>
      <w:rPr>
        <w:rFonts w:hint="default"/>
        <w:lang w:val="en-US" w:eastAsia="en-US" w:bidi="en-US"/>
      </w:rPr>
    </w:lvl>
    <w:lvl w:ilvl="3" w:tplc="9D8EE9A8">
      <w:numFmt w:val="bullet"/>
      <w:lvlText w:val="•"/>
      <w:lvlJc w:val="left"/>
      <w:pPr>
        <w:ind w:left="3247" w:hanging="360"/>
      </w:pPr>
      <w:rPr>
        <w:rFonts w:hint="default"/>
        <w:lang w:val="en-US" w:eastAsia="en-US" w:bidi="en-US"/>
      </w:rPr>
    </w:lvl>
    <w:lvl w:ilvl="4" w:tplc="851044A8">
      <w:numFmt w:val="bullet"/>
      <w:lvlText w:val="•"/>
      <w:lvlJc w:val="left"/>
      <w:pPr>
        <w:ind w:left="4016" w:hanging="360"/>
      </w:pPr>
      <w:rPr>
        <w:rFonts w:hint="default"/>
        <w:lang w:val="en-US" w:eastAsia="en-US" w:bidi="en-US"/>
      </w:rPr>
    </w:lvl>
    <w:lvl w:ilvl="5" w:tplc="6D469AE8">
      <w:numFmt w:val="bullet"/>
      <w:lvlText w:val="•"/>
      <w:lvlJc w:val="left"/>
      <w:pPr>
        <w:ind w:left="4786" w:hanging="360"/>
      </w:pPr>
      <w:rPr>
        <w:rFonts w:hint="default"/>
        <w:lang w:val="en-US" w:eastAsia="en-US" w:bidi="en-US"/>
      </w:rPr>
    </w:lvl>
    <w:lvl w:ilvl="6" w:tplc="1E46EA80">
      <w:numFmt w:val="bullet"/>
      <w:lvlText w:val="•"/>
      <w:lvlJc w:val="left"/>
      <w:pPr>
        <w:ind w:left="5555" w:hanging="360"/>
      </w:pPr>
      <w:rPr>
        <w:rFonts w:hint="default"/>
        <w:lang w:val="en-US" w:eastAsia="en-US" w:bidi="en-US"/>
      </w:rPr>
    </w:lvl>
    <w:lvl w:ilvl="7" w:tplc="B044B5F2">
      <w:numFmt w:val="bullet"/>
      <w:lvlText w:val="•"/>
      <w:lvlJc w:val="left"/>
      <w:pPr>
        <w:ind w:left="6324" w:hanging="360"/>
      </w:pPr>
      <w:rPr>
        <w:rFonts w:hint="default"/>
        <w:lang w:val="en-US" w:eastAsia="en-US" w:bidi="en-US"/>
      </w:rPr>
    </w:lvl>
    <w:lvl w:ilvl="8" w:tplc="962CB6D0">
      <w:numFmt w:val="bullet"/>
      <w:lvlText w:val="•"/>
      <w:lvlJc w:val="left"/>
      <w:pPr>
        <w:ind w:left="7093" w:hanging="360"/>
      </w:pPr>
      <w:rPr>
        <w:rFonts w:hint="default"/>
        <w:lang w:val="en-US" w:eastAsia="en-US" w:bidi="en-US"/>
      </w:rPr>
    </w:lvl>
  </w:abstractNum>
  <w:abstractNum w:abstractNumId="2" w15:restartNumberingAfterBreak="0">
    <w:nsid w:val="14FE7E2C"/>
    <w:multiLevelType w:val="hybridMultilevel"/>
    <w:tmpl w:val="78A4B454"/>
    <w:lvl w:ilvl="0" w:tplc="85C2DE16">
      <w:numFmt w:val="bullet"/>
      <w:lvlText w:val=""/>
      <w:lvlJc w:val="left"/>
      <w:pPr>
        <w:ind w:left="934" w:hanging="360"/>
      </w:pPr>
      <w:rPr>
        <w:rFonts w:ascii="Symbol" w:eastAsia="Symbol" w:hAnsi="Symbol" w:cs="Symbol" w:hint="default"/>
        <w:w w:val="100"/>
        <w:sz w:val="24"/>
        <w:szCs w:val="24"/>
        <w:lang w:val="en-US" w:eastAsia="en-US" w:bidi="en-US"/>
      </w:rPr>
    </w:lvl>
    <w:lvl w:ilvl="1" w:tplc="8BCCB014">
      <w:numFmt w:val="bullet"/>
      <w:lvlText w:val="•"/>
      <w:lvlJc w:val="left"/>
      <w:pPr>
        <w:ind w:left="1709" w:hanging="360"/>
      </w:pPr>
      <w:rPr>
        <w:rFonts w:hint="default"/>
        <w:lang w:val="en-US" w:eastAsia="en-US" w:bidi="en-US"/>
      </w:rPr>
    </w:lvl>
    <w:lvl w:ilvl="2" w:tplc="7048F4B8">
      <w:numFmt w:val="bullet"/>
      <w:lvlText w:val="•"/>
      <w:lvlJc w:val="left"/>
      <w:pPr>
        <w:ind w:left="2478" w:hanging="360"/>
      </w:pPr>
      <w:rPr>
        <w:rFonts w:hint="default"/>
        <w:lang w:val="en-US" w:eastAsia="en-US" w:bidi="en-US"/>
      </w:rPr>
    </w:lvl>
    <w:lvl w:ilvl="3" w:tplc="C3869640">
      <w:numFmt w:val="bullet"/>
      <w:lvlText w:val="•"/>
      <w:lvlJc w:val="left"/>
      <w:pPr>
        <w:ind w:left="3247" w:hanging="360"/>
      </w:pPr>
      <w:rPr>
        <w:rFonts w:hint="default"/>
        <w:lang w:val="en-US" w:eastAsia="en-US" w:bidi="en-US"/>
      </w:rPr>
    </w:lvl>
    <w:lvl w:ilvl="4" w:tplc="8F72AD32">
      <w:numFmt w:val="bullet"/>
      <w:lvlText w:val="•"/>
      <w:lvlJc w:val="left"/>
      <w:pPr>
        <w:ind w:left="4016" w:hanging="360"/>
      </w:pPr>
      <w:rPr>
        <w:rFonts w:hint="default"/>
        <w:lang w:val="en-US" w:eastAsia="en-US" w:bidi="en-US"/>
      </w:rPr>
    </w:lvl>
    <w:lvl w:ilvl="5" w:tplc="FE406B3A">
      <w:numFmt w:val="bullet"/>
      <w:lvlText w:val="•"/>
      <w:lvlJc w:val="left"/>
      <w:pPr>
        <w:ind w:left="4786" w:hanging="360"/>
      </w:pPr>
      <w:rPr>
        <w:rFonts w:hint="default"/>
        <w:lang w:val="en-US" w:eastAsia="en-US" w:bidi="en-US"/>
      </w:rPr>
    </w:lvl>
    <w:lvl w:ilvl="6" w:tplc="1FAEBAAA">
      <w:numFmt w:val="bullet"/>
      <w:lvlText w:val="•"/>
      <w:lvlJc w:val="left"/>
      <w:pPr>
        <w:ind w:left="5555" w:hanging="360"/>
      </w:pPr>
      <w:rPr>
        <w:rFonts w:hint="default"/>
        <w:lang w:val="en-US" w:eastAsia="en-US" w:bidi="en-US"/>
      </w:rPr>
    </w:lvl>
    <w:lvl w:ilvl="7" w:tplc="A8CAD744">
      <w:numFmt w:val="bullet"/>
      <w:lvlText w:val="•"/>
      <w:lvlJc w:val="left"/>
      <w:pPr>
        <w:ind w:left="6324" w:hanging="360"/>
      </w:pPr>
      <w:rPr>
        <w:rFonts w:hint="default"/>
        <w:lang w:val="en-US" w:eastAsia="en-US" w:bidi="en-US"/>
      </w:rPr>
    </w:lvl>
    <w:lvl w:ilvl="8" w:tplc="CDBC37EA">
      <w:numFmt w:val="bullet"/>
      <w:lvlText w:val="•"/>
      <w:lvlJc w:val="left"/>
      <w:pPr>
        <w:ind w:left="7093" w:hanging="360"/>
      </w:pPr>
      <w:rPr>
        <w:rFonts w:hint="default"/>
        <w:lang w:val="en-US" w:eastAsia="en-US" w:bidi="en-US"/>
      </w:rPr>
    </w:lvl>
  </w:abstractNum>
  <w:abstractNum w:abstractNumId="3" w15:restartNumberingAfterBreak="0">
    <w:nsid w:val="27F11155"/>
    <w:multiLevelType w:val="multilevel"/>
    <w:tmpl w:val="1DF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40A0B"/>
    <w:multiLevelType w:val="hybridMultilevel"/>
    <w:tmpl w:val="DAD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A4E69"/>
    <w:multiLevelType w:val="hybridMultilevel"/>
    <w:tmpl w:val="918C0B86"/>
    <w:lvl w:ilvl="0" w:tplc="91945D0C">
      <w:numFmt w:val="bullet"/>
      <w:lvlText w:val=""/>
      <w:lvlJc w:val="left"/>
      <w:pPr>
        <w:ind w:left="826" w:hanging="360"/>
      </w:pPr>
      <w:rPr>
        <w:rFonts w:ascii="Symbol" w:eastAsia="Symbol" w:hAnsi="Symbol" w:cs="Symbol" w:hint="default"/>
        <w:w w:val="100"/>
        <w:sz w:val="24"/>
        <w:szCs w:val="24"/>
        <w:lang w:val="en-US" w:eastAsia="en-US" w:bidi="en-US"/>
      </w:rPr>
    </w:lvl>
    <w:lvl w:ilvl="1" w:tplc="FB929A8A">
      <w:numFmt w:val="bullet"/>
      <w:lvlText w:val="•"/>
      <w:lvlJc w:val="left"/>
      <w:pPr>
        <w:ind w:left="1601" w:hanging="360"/>
      </w:pPr>
      <w:rPr>
        <w:rFonts w:hint="default"/>
        <w:lang w:val="en-US" w:eastAsia="en-US" w:bidi="en-US"/>
      </w:rPr>
    </w:lvl>
    <w:lvl w:ilvl="2" w:tplc="4268FF98">
      <w:numFmt w:val="bullet"/>
      <w:lvlText w:val="•"/>
      <w:lvlJc w:val="left"/>
      <w:pPr>
        <w:ind w:left="2382" w:hanging="360"/>
      </w:pPr>
      <w:rPr>
        <w:rFonts w:hint="default"/>
        <w:lang w:val="en-US" w:eastAsia="en-US" w:bidi="en-US"/>
      </w:rPr>
    </w:lvl>
    <w:lvl w:ilvl="3" w:tplc="FB1AABD6">
      <w:numFmt w:val="bullet"/>
      <w:lvlText w:val="•"/>
      <w:lvlJc w:val="left"/>
      <w:pPr>
        <w:ind w:left="3163" w:hanging="360"/>
      </w:pPr>
      <w:rPr>
        <w:rFonts w:hint="default"/>
        <w:lang w:val="en-US" w:eastAsia="en-US" w:bidi="en-US"/>
      </w:rPr>
    </w:lvl>
    <w:lvl w:ilvl="4" w:tplc="BBEA8CC6">
      <w:numFmt w:val="bullet"/>
      <w:lvlText w:val="•"/>
      <w:lvlJc w:val="left"/>
      <w:pPr>
        <w:ind w:left="3944" w:hanging="360"/>
      </w:pPr>
      <w:rPr>
        <w:rFonts w:hint="default"/>
        <w:lang w:val="en-US" w:eastAsia="en-US" w:bidi="en-US"/>
      </w:rPr>
    </w:lvl>
    <w:lvl w:ilvl="5" w:tplc="0E9A9676">
      <w:numFmt w:val="bullet"/>
      <w:lvlText w:val="•"/>
      <w:lvlJc w:val="left"/>
      <w:pPr>
        <w:ind w:left="4726" w:hanging="360"/>
      </w:pPr>
      <w:rPr>
        <w:rFonts w:hint="default"/>
        <w:lang w:val="en-US" w:eastAsia="en-US" w:bidi="en-US"/>
      </w:rPr>
    </w:lvl>
    <w:lvl w:ilvl="6" w:tplc="9898800C">
      <w:numFmt w:val="bullet"/>
      <w:lvlText w:val="•"/>
      <w:lvlJc w:val="left"/>
      <w:pPr>
        <w:ind w:left="5507" w:hanging="360"/>
      </w:pPr>
      <w:rPr>
        <w:rFonts w:hint="default"/>
        <w:lang w:val="en-US" w:eastAsia="en-US" w:bidi="en-US"/>
      </w:rPr>
    </w:lvl>
    <w:lvl w:ilvl="7" w:tplc="CB540E4C">
      <w:numFmt w:val="bullet"/>
      <w:lvlText w:val="•"/>
      <w:lvlJc w:val="left"/>
      <w:pPr>
        <w:ind w:left="6288" w:hanging="360"/>
      </w:pPr>
      <w:rPr>
        <w:rFonts w:hint="default"/>
        <w:lang w:val="en-US" w:eastAsia="en-US" w:bidi="en-US"/>
      </w:rPr>
    </w:lvl>
    <w:lvl w:ilvl="8" w:tplc="C7DCC380">
      <w:numFmt w:val="bullet"/>
      <w:lvlText w:val="•"/>
      <w:lvlJc w:val="left"/>
      <w:pPr>
        <w:ind w:left="7069" w:hanging="360"/>
      </w:pPr>
      <w:rPr>
        <w:rFonts w:hint="default"/>
        <w:lang w:val="en-US" w:eastAsia="en-US" w:bidi="en-US"/>
      </w:rPr>
    </w:lvl>
  </w:abstractNum>
  <w:abstractNum w:abstractNumId="6" w15:restartNumberingAfterBreak="0">
    <w:nsid w:val="311F1F84"/>
    <w:multiLevelType w:val="multilevel"/>
    <w:tmpl w:val="2788F926"/>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F59B9"/>
    <w:multiLevelType w:val="hybridMultilevel"/>
    <w:tmpl w:val="A0045316"/>
    <w:lvl w:ilvl="0" w:tplc="C5E2E168">
      <w:numFmt w:val="bullet"/>
      <w:lvlText w:val=""/>
      <w:lvlJc w:val="left"/>
      <w:pPr>
        <w:ind w:left="934" w:hanging="360"/>
      </w:pPr>
      <w:rPr>
        <w:rFonts w:ascii="Symbol" w:eastAsia="Symbol" w:hAnsi="Symbol" w:cs="Symbol" w:hint="default"/>
        <w:w w:val="100"/>
        <w:sz w:val="24"/>
        <w:szCs w:val="24"/>
        <w:lang w:val="en-US" w:eastAsia="en-US" w:bidi="en-US"/>
      </w:rPr>
    </w:lvl>
    <w:lvl w:ilvl="1" w:tplc="02EC5552">
      <w:numFmt w:val="bullet"/>
      <w:lvlText w:val="•"/>
      <w:lvlJc w:val="left"/>
      <w:pPr>
        <w:ind w:left="1709" w:hanging="360"/>
      </w:pPr>
      <w:rPr>
        <w:rFonts w:hint="default"/>
        <w:lang w:val="en-US" w:eastAsia="en-US" w:bidi="en-US"/>
      </w:rPr>
    </w:lvl>
    <w:lvl w:ilvl="2" w:tplc="B12EA56C">
      <w:numFmt w:val="bullet"/>
      <w:lvlText w:val="•"/>
      <w:lvlJc w:val="left"/>
      <w:pPr>
        <w:ind w:left="2478" w:hanging="360"/>
      </w:pPr>
      <w:rPr>
        <w:rFonts w:hint="default"/>
        <w:lang w:val="en-US" w:eastAsia="en-US" w:bidi="en-US"/>
      </w:rPr>
    </w:lvl>
    <w:lvl w:ilvl="3" w:tplc="BD5ADB10">
      <w:numFmt w:val="bullet"/>
      <w:lvlText w:val="•"/>
      <w:lvlJc w:val="left"/>
      <w:pPr>
        <w:ind w:left="3247" w:hanging="360"/>
      </w:pPr>
      <w:rPr>
        <w:rFonts w:hint="default"/>
        <w:lang w:val="en-US" w:eastAsia="en-US" w:bidi="en-US"/>
      </w:rPr>
    </w:lvl>
    <w:lvl w:ilvl="4" w:tplc="8330316E">
      <w:numFmt w:val="bullet"/>
      <w:lvlText w:val="•"/>
      <w:lvlJc w:val="left"/>
      <w:pPr>
        <w:ind w:left="4016" w:hanging="360"/>
      </w:pPr>
      <w:rPr>
        <w:rFonts w:hint="default"/>
        <w:lang w:val="en-US" w:eastAsia="en-US" w:bidi="en-US"/>
      </w:rPr>
    </w:lvl>
    <w:lvl w:ilvl="5" w:tplc="AAFAE154">
      <w:numFmt w:val="bullet"/>
      <w:lvlText w:val="•"/>
      <w:lvlJc w:val="left"/>
      <w:pPr>
        <w:ind w:left="4786" w:hanging="360"/>
      </w:pPr>
      <w:rPr>
        <w:rFonts w:hint="default"/>
        <w:lang w:val="en-US" w:eastAsia="en-US" w:bidi="en-US"/>
      </w:rPr>
    </w:lvl>
    <w:lvl w:ilvl="6" w:tplc="171E4608">
      <w:numFmt w:val="bullet"/>
      <w:lvlText w:val="•"/>
      <w:lvlJc w:val="left"/>
      <w:pPr>
        <w:ind w:left="5555" w:hanging="360"/>
      </w:pPr>
      <w:rPr>
        <w:rFonts w:hint="default"/>
        <w:lang w:val="en-US" w:eastAsia="en-US" w:bidi="en-US"/>
      </w:rPr>
    </w:lvl>
    <w:lvl w:ilvl="7" w:tplc="00D6564A">
      <w:numFmt w:val="bullet"/>
      <w:lvlText w:val="•"/>
      <w:lvlJc w:val="left"/>
      <w:pPr>
        <w:ind w:left="6324" w:hanging="360"/>
      </w:pPr>
      <w:rPr>
        <w:rFonts w:hint="default"/>
        <w:lang w:val="en-US" w:eastAsia="en-US" w:bidi="en-US"/>
      </w:rPr>
    </w:lvl>
    <w:lvl w:ilvl="8" w:tplc="AC4668F6">
      <w:numFmt w:val="bullet"/>
      <w:lvlText w:val="•"/>
      <w:lvlJc w:val="left"/>
      <w:pPr>
        <w:ind w:left="7093" w:hanging="360"/>
      </w:pPr>
      <w:rPr>
        <w:rFonts w:hint="default"/>
        <w:lang w:val="en-US" w:eastAsia="en-US" w:bidi="en-US"/>
      </w:rPr>
    </w:lvl>
  </w:abstractNum>
  <w:abstractNum w:abstractNumId="8" w15:restartNumberingAfterBreak="0">
    <w:nsid w:val="53150396"/>
    <w:multiLevelType w:val="hybridMultilevel"/>
    <w:tmpl w:val="800A87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C8C31E9"/>
    <w:multiLevelType w:val="hybridMultilevel"/>
    <w:tmpl w:val="08643F46"/>
    <w:lvl w:ilvl="0" w:tplc="F438B824">
      <w:numFmt w:val="bullet"/>
      <w:lvlText w:val=""/>
      <w:lvlJc w:val="left"/>
      <w:pPr>
        <w:ind w:left="826" w:hanging="360"/>
      </w:pPr>
      <w:rPr>
        <w:rFonts w:ascii="Symbol" w:eastAsia="Symbol" w:hAnsi="Symbol" w:cs="Symbol" w:hint="default"/>
        <w:w w:val="100"/>
        <w:sz w:val="24"/>
        <w:szCs w:val="24"/>
        <w:lang w:val="en-US" w:eastAsia="en-US" w:bidi="en-US"/>
      </w:rPr>
    </w:lvl>
    <w:lvl w:ilvl="1" w:tplc="ABE6239C">
      <w:numFmt w:val="bullet"/>
      <w:lvlText w:val="•"/>
      <w:lvlJc w:val="left"/>
      <w:pPr>
        <w:ind w:left="1601" w:hanging="360"/>
      </w:pPr>
      <w:rPr>
        <w:rFonts w:hint="default"/>
        <w:lang w:val="en-US" w:eastAsia="en-US" w:bidi="en-US"/>
      </w:rPr>
    </w:lvl>
    <w:lvl w:ilvl="2" w:tplc="6ED2D784">
      <w:numFmt w:val="bullet"/>
      <w:lvlText w:val="•"/>
      <w:lvlJc w:val="left"/>
      <w:pPr>
        <w:ind w:left="2382" w:hanging="360"/>
      </w:pPr>
      <w:rPr>
        <w:rFonts w:hint="default"/>
        <w:lang w:val="en-US" w:eastAsia="en-US" w:bidi="en-US"/>
      </w:rPr>
    </w:lvl>
    <w:lvl w:ilvl="3" w:tplc="9F7E51CC">
      <w:numFmt w:val="bullet"/>
      <w:lvlText w:val="•"/>
      <w:lvlJc w:val="left"/>
      <w:pPr>
        <w:ind w:left="3163" w:hanging="360"/>
      </w:pPr>
      <w:rPr>
        <w:rFonts w:hint="default"/>
        <w:lang w:val="en-US" w:eastAsia="en-US" w:bidi="en-US"/>
      </w:rPr>
    </w:lvl>
    <w:lvl w:ilvl="4" w:tplc="82BAB0F8">
      <w:numFmt w:val="bullet"/>
      <w:lvlText w:val="•"/>
      <w:lvlJc w:val="left"/>
      <w:pPr>
        <w:ind w:left="3944" w:hanging="360"/>
      </w:pPr>
      <w:rPr>
        <w:rFonts w:hint="default"/>
        <w:lang w:val="en-US" w:eastAsia="en-US" w:bidi="en-US"/>
      </w:rPr>
    </w:lvl>
    <w:lvl w:ilvl="5" w:tplc="AE0EE1AE">
      <w:numFmt w:val="bullet"/>
      <w:lvlText w:val="•"/>
      <w:lvlJc w:val="left"/>
      <w:pPr>
        <w:ind w:left="4726" w:hanging="360"/>
      </w:pPr>
      <w:rPr>
        <w:rFonts w:hint="default"/>
        <w:lang w:val="en-US" w:eastAsia="en-US" w:bidi="en-US"/>
      </w:rPr>
    </w:lvl>
    <w:lvl w:ilvl="6" w:tplc="69FED004">
      <w:numFmt w:val="bullet"/>
      <w:lvlText w:val="•"/>
      <w:lvlJc w:val="left"/>
      <w:pPr>
        <w:ind w:left="5507" w:hanging="360"/>
      </w:pPr>
      <w:rPr>
        <w:rFonts w:hint="default"/>
        <w:lang w:val="en-US" w:eastAsia="en-US" w:bidi="en-US"/>
      </w:rPr>
    </w:lvl>
    <w:lvl w:ilvl="7" w:tplc="AC48D1CC">
      <w:numFmt w:val="bullet"/>
      <w:lvlText w:val="•"/>
      <w:lvlJc w:val="left"/>
      <w:pPr>
        <w:ind w:left="6288" w:hanging="360"/>
      </w:pPr>
      <w:rPr>
        <w:rFonts w:hint="default"/>
        <w:lang w:val="en-US" w:eastAsia="en-US" w:bidi="en-US"/>
      </w:rPr>
    </w:lvl>
    <w:lvl w:ilvl="8" w:tplc="40569782">
      <w:numFmt w:val="bullet"/>
      <w:lvlText w:val="•"/>
      <w:lvlJc w:val="left"/>
      <w:pPr>
        <w:ind w:left="7069" w:hanging="360"/>
      </w:pPr>
      <w:rPr>
        <w:rFonts w:hint="default"/>
        <w:lang w:val="en-US" w:eastAsia="en-US" w:bidi="en-US"/>
      </w:rPr>
    </w:lvl>
  </w:abstractNum>
  <w:abstractNum w:abstractNumId="10" w15:restartNumberingAfterBreak="0">
    <w:nsid w:val="653330AA"/>
    <w:multiLevelType w:val="multilevel"/>
    <w:tmpl w:val="712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8"/>
  </w:num>
  <w:num w:numId="5">
    <w:abstractNumId w:val="1"/>
  </w:num>
  <w:num w:numId="6">
    <w:abstractNumId w:val="7"/>
  </w:num>
  <w:num w:numId="7">
    <w:abstractNumId w:val="0"/>
  </w:num>
  <w:num w:numId="8">
    <w:abstractNumId w:val="2"/>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C"/>
    <w:rsid w:val="000A2649"/>
    <w:rsid w:val="00142470"/>
    <w:rsid w:val="00165C80"/>
    <w:rsid w:val="001869D9"/>
    <w:rsid w:val="00197AE6"/>
    <w:rsid w:val="001E3DE6"/>
    <w:rsid w:val="001F2CAA"/>
    <w:rsid w:val="001F646C"/>
    <w:rsid w:val="00202E4A"/>
    <w:rsid w:val="00212F39"/>
    <w:rsid w:val="00216EEE"/>
    <w:rsid w:val="00233BC9"/>
    <w:rsid w:val="00234E6C"/>
    <w:rsid w:val="00250F91"/>
    <w:rsid w:val="0025175F"/>
    <w:rsid w:val="00272A63"/>
    <w:rsid w:val="00287DCF"/>
    <w:rsid w:val="002A66B4"/>
    <w:rsid w:val="002D56DA"/>
    <w:rsid w:val="002D69AD"/>
    <w:rsid w:val="002E026D"/>
    <w:rsid w:val="002E3522"/>
    <w:rsid w:val="002F68F8"/>
    <w:rsid w:val="00303824"/>
    <w:rsid w:val="00382839"/>
    <w:rsid w:val="0038793D"/>
    <w:rsid w:val="003B00D1"/>
    <w:rsid w:val="003B1E8E"/>
    <w:rsid w:val="003D6E7C"/>
    <w:rsid w:val="003E30B8"/>
    <w:rsid w:val="003E38B8"/>
    <w:rsid w:val="003F103A"/>
    <w:rsid w:val="00405255"/>
    <w:rsid w:val="004160F0"/>
    <w:rsid w:val="0042228D"/>
    <w:rsid w:val="00445F20"/>
    <w:rsid w:val="0045614E"/>
    <w:rsid w:val="00472A29"/>
    <w:rsid w:val="00473724"/>
    <w:rsid w:val="00487626"/>
    <w:rsid w:val="004D31CC"/>
    <w:rsid w:val="004F3D95"/>
    <w:rsid w:val="005040DB"/>
    <w:rsid w:val="00520E99"/>
    <w:rsid w:val="0052291D"/>
    <w:rsid w:val="0053110E"/>
    <w:rsid w:val="00572349"/>
    <w:rsid w:val="0057239F"/>
    <w:rsid w:val="005857B7"/>
    <w:rsid w:val="00595C54"/>
    <w:rsid w:val="005E3A24"/>
    <w:rsid w:val="005E5120"/>
    <w:rsid w:val="00600282"/>
    <w:rsid w:val="006034CB"/>
    <w:rsid w:val="00611985"/>
    <w:rsid w:val="00697D59"/>
    <w:rsid w:val="006A61C3"/>
    <w:rsid w:val="006B07BC"/>
    <w:rsid w:val="006F4634"/>
    <w:rsid w:val="00734523"/>
    <w:rsid w:val="00736282"/>
    <w:rsid w:val="007437AC"/>
    <w:rsid w:val="00750828"/>
    <w:rsid w:val="00766931"/>
    <w:rsid w:val="00770368"/>
    <w:rsid w:val="007A644E"/>
    <w:rsid w:val="007B6229"/>
    <w:rsid w:val="007D3644"/>
    <w:rsid w:val="007F2672"/>
    <w:rsid w:val="008125C5"/>
    <w:rsid w:val="00812E7B"/>
    <w:rsid w:val="00827B61"/>
    <w:rsid w:val="008520F6"/>
    <w:rsid w:val="00854EAE"/>
    <w:rsid w:val="00871B96"/>
    <w:rsid w:val="00885D7D"/>
    <w:rsid w:val="008A57D8"/>
    <w:rsid w:val="008C2DAF"/>
    <w:rsid w:val="008D2F30"/>
    <w:rsid w:val="008E09F5"/>
    <w:rsid w:val="00903487"/>
    <w:rsid w:val="00914CE8"/>
    <w:rsid w:val="0093387C"/>
    <w:rsid w:val="00933C3C"/>
    <w:rsid w:val="0094616F"/>
    <w:rsid w:val="00957927"/>
    <w:rsid w:val="00971314"/>
    <w:rsid w:val="00983176"/>
    <w:rsid w:val="0099075F"/>
    <w:rsid w:val="00995177"/>
    <w:rsid w:val="009A1D52"/>
    <w:rsid w:val="009B190C"/>
    <w:rsid w:val="009B788C"/>
    <w:rsid w:val="009C1946"/>
    <w:rsid w:val="009C3D32"/>
    <w:rsid w:val="009D4BF0"/>
    <w:rsid w:val="009E2566"/>
    <w:rsid w:val="009E459A"/>
    <w:rsid w:val="00A00CEF"/>
    <w:rsid w:val="00A04EF7"/>
    <w:rsid w:val="00A205E0"/>
    <w:rsid w:val="00A54A2F"/>
    <w:rsid w:val="00A60025"/>
    <w:rsid w:val="00A67E22"/>
    <w:rsid w:val="00A96AAC"/>
    <w:rsid w:val="00A9784E"/>
    <w:rsid w:val="00B01DB4"/>
    <w:rsid w:val="00B12143"/>
    <w:rsid w:val="00B17977"/>
    <w:rsid w:val="00B207A7"/>
    <w:rsid w:val="00B40903"/>
    <w:rsid w:val="00B54EF5"/>
    <w:rsid w:val="00B62917"/>
    <w:rsid w:val="00B74586"/>
    <w:rsid w:val="00BF4C6B"/>
    <w:rsid w:val="00C00DA6"/>
    <w:rsid w:val="00C05DD7"/>
    <w:rsid w:val="00C22F06"/>
    <w:rsid w:val="00C263AF"/>
    <w:rsid w:val="00C41D51"/>
    <w:rsid w:val="00C46DE7"/>
    <w:rsid w:val="00C51001"/>
    <w:rsid w:val="00C5306D"/>
    <w:rsid w:val="00C76980"/>
    <w:rsid w:val="00C96C14"/>
    <w:rsid w:val="00CC2D91"/>
    <w:rsid w:val="00CD11CC"/>
    <w:rsid w:val="00CF00AA"/>
    <w:rsid w:val="00D05221"/>
    <w:rsid w:val="00D248F9"/>
    <w:rsid w:val="00D8295D"/>
    <w:rsid w:val="00D833B2"/>
    <w:rsid w:val="00DC2643"/>
    <w:rsid w:val="00DF6896"/>
    <w:rsid w:val="00E025B6"/>
    <w:rsid w:val="00E24160"/>
    <w:rsid w:val="00E52A62"/>
    <w:rsid w:val="00EA1FBD"/>
    <w:rsid w:val="00EB7C38"/>
    <w:rsid w:val="00EC1314"/>
    <w:rsid w:val="00F20EBD"/>
    <w:rsid w:val="00F41FB6"/>
    <w:rsid w:val="00F47FDB"/>
    <w:rsid w:val="00FA2F4A"/>
    <w:rsid w:val="00FB00E8"/>
    <w:rsid w:val="00FB487A"/>
    <w:rsid w:val="00FC1BE3"/>
    <w:rsid w:val="00FC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1409"/>
  <w15:docId w15:val="{2C80DE86-5D05-4E8A-8E72-542D123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9AD"/>
  </w:style>
  <w:style w:type="paragraph" w:styleId="Heading1">
    <w:name w:val="heading 1"/>
    <w:basedOn w:val="Normal"/>
    <w:next w:val="Normal"/>
    <w:link w:val="Heading1Char"/>
    <w:uiPriority w:val="9"/>
    <w:qFormat/>
    <w:rsid w:val="007B6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487"/>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4E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2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6229"/>
    <w:pPr>
      <w:ind w:left="720"/>
      <w:contextualSpacing/>
    </w:pPr>
  </w:style>
  <w:style w:type="character" w:customStyle="1" w:styleId="Heading2Char">
    <w:name w:val="Heading 2 Char"/>
    <w:basedOn w:val="DefaultParagraphFont"/>
    <w:link w:val="Heading2"/>
    <w:uiPriority w:val="9"/>
    <w:rsid w:val="0090348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03487"/>
    <w:pPr>
      <w:widowControl w:val="0"/>
      <w:autoSpaceDE w:val="0"/>
      <w:autoSpaceDN w:val="0"/>
      <w:spacing w:before="1"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348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0348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034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03487"/>
    <w:rPr>
      <w:vertAlign w:val="superscript"/>
    </w:rPr>
  </w:style>
  <w:style w:type="table" w:styleId="TableGrid">
    <w:name w:val="Table Grid"/>
    <w:basedOn w:val="TableNormal"/>
    <w:uiPriority w:val="59"/>
    <w:rsid w:val="0090348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487"/>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3487"/>
    <w:rPr>
      <w:rFonts w:ascii="Times New Roman" w:eastAsia="Times New Roman" w:hAnsi="Times New Roman" w:cs="Times New Roman"/>
    </w:rPr>
  </w:style>
  <w:style w:type="paragraph" w:styleId="Footer">
    <w:name w:val="footer"/>
    <w:basedOn w:val="Normal"/>
    <w:link w:val="FooterChar"/>
    <w:uiPriority w:val="99"/>
    <w:unhideWhenUsed/>
    <w:rsid w:val="00903487"/>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0348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87"/>
    <w:rPr>
      <w:rFonts w:ascii="Tahoma" w:hAnsi="Tahoma" w:cs="Tahoma"/>
      <w:sz w:val="16"/>
      <w:szCs w:val="16"/>
    </w:rPr>
  </w:style>
  <w:style w:type="character" w:styleId="PlaceholderText">
    <w:name w:val="Placeholder Text"/>
    <w:basedOn w:val="DefaultParagraphFont"/>
    <w:uiPriority w:val="99"/>
    <w:semiHidden/>
    <w:rsid w:val="006B07BC"/>
    <w:rPr>
      <w:color w:val="808080"/>
    </w:rPr>
  </w:style>
  <w:style w:type="character" w:customStyle="1" w:styleId="Heading3Char">
    <w:name w:val="Heading 3 Char"/>
    <w:basedOn w:val="DefaultParagraphFont"/>
    <w:link w:val="Heading3"/>
    <w:uiPriority w:val="9"/>
    <w:rsid w:val="00A04EF7"/>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3E30B8"/>
    <w:pPr>
      <w:widowControl w:val="0"/>
      <w:autoSpaceDE w:val="0"/>
      <w:autoSpaceDN w:val="0"/>
      <w:spacing w:after="0" w:line="240" w:lineRule="auto"/>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5614E"/>
    <w:rPr>
      <w:sz w:val="16"/>
      <w:szCs w:val="16"/>
    </w:rPr>
  </w:style>
  <w:style w:type="paragraph" w:styleId="CommentText">
    <w:name w:val="annotation text"/>
    <w:basedOn w:val="Normal"/>
    <w:link w:val="CommentTextChar"/>
    <w:uiPriority w:val="99"/>
    <w:semiHidden/>
    <w:unhideWhenUsed/>
    <w:rsid w:val="0045614E"/>
    <w:pPr>
      <w:spacing w:line="240" w:lineRule="auto"/>
    </w:pPr>
    <w:rPr>
      <w:sz w:val="20"/>
      <w:szCs w:val="20"/>
    </w:rPr>
  </w:style>
  <w:style w:type="character" w:customStyle="1" w:styleId="CommentTextChar">
    <w:name w:val="Comment Text Char"/>
    <w:basedOn w:val="DefaultParagraphFont"/>
    <w:link w:val="CommentText"/>
    <w:uiPriority w:val="99"/>
    <w:semiHidden/>
    <w:rsid w:val="0045614E"/>
    <w:rPr>
      <w:sz w:val="20"/>
      <w:szCs w:val="20"/>
    </w:rPr>
  </w:style>
  <w:style w:type="paragraph" w:styleId="CommentSubject">
    <w:name w:val="annotation subject"/>
    <w:basedOn w:val="CommentText"/>
    <w:next w:val="CommentText"/>
    <w:link w:val="CommentSubjectChar"/>
    <w:uiPriority w:val="99"/>
    <w:semiHidden/>
    <w:unhideWhenUsed/>
    <w:rsid w:val="0045614E"/>
    <w:rPr>
      <w:b/>
      <w:bCs/>
    </w:rPr>
  </w:style>
  <w:style w:type="character" w:customStyle="1" w:styleId="CommentSubjectChar">
    <w:name w:val="Comment Subject Char"/>
    <w:basedOn w:val="CommentTextChar"/>
    <w:link w:val="CommentSubject"/>
    <w:uiPriority w:val="99"/>
    <w:semiHidden/>
    <w:rsid w:val="00456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CC1444E224A9E84D7A62E4311C36D"/>
        <w:category>
          <w:name w:val="General"/>
          <w:gallery w:val="placeholder"/>
        </w:category>
        <w:types>
          <w:type w:val="bbPlcHdr"/>
        </w:types>
        <w:behaviors>
          <w:behavior w:val="content"/>
        </w:behaviors>
        <w:guid w:val="{1E55C49C-18E7-47D4-AC31-3147D1AA98BC}"/>
      </w:docPartPr>
      <w:docPartBody>
        <w:p w:rsidR="00526543" w:rsidRDefault="00564480">
          <w:r w:rsidRPr="007544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24"/>
    <w:rsid w:val="0020709C"/>
    <w:rsid w:val="00287409"/>
    <w:rsid w:val="00460559"/>
    <w:rsid w:val="00526543"/>
    <w:rsid w:val="00564480"/>
    <w:rsid w:val="0062309E"/>
    <w:rsid w:val="00717182"/>
    <w:rsid w:val="007257DC"/>
    <w:rsid w:val="00776D5A"/>
    <w:rsid w:val="00867AD2"/>
    <w:rsid w:val="008C18F2"/>
    <w:rsid w:val="00972808"/>
    <w:rsid w:val="009B592F"/>
    <w:rsid w:val="00BD4024"/>
    <w:rsid w:val="00C72E16"/>
    <w:rsid w:val="00C927B7"/>
    <w:rsid w:val="00C93A56"/>
    <w:rsid w:val="00D7308E"/>
    <w:rsid w:val="00DA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1AB009C21743B1AACD9EE8F77E23DC">
    <w:name w:val="D21AB009C21743B1AACD9EE8F77E23DC"/>
    <w:rsid w:val="00BD4024"/>
  </w:style>
  <w:style w:type="paragraph" w:customStyle="1" w:styleId="A351472D5E564C67A3300B15DDB87FBC">
    <w:name w:val="A351472D5E564C67A3300B15DDB87FBC"/>
    <w:rsid w:val="00BD4024"/>
  </w:style>
  <w:style w:type="character" w:styleId="PlaceholderText">
    <w:name w:val="Placeholder Text"/>
    <w:basedOn w:val="DefaultParagraphFont"/>
    <w:uiPriority w:val="99"/>
    <w:semiHidden/>
    <w:rsid w:val="00564480"/>
    <w:rPr>
      <w:color w:val="808080"/>
    </w:rPr>
  </w:style>
  <w:style w:type="paragraph" w:customStyle="1" w:styleId="3CA351857C9A4B46832A700F32B1CA2B">
    <w:name w:val="3CA351857C9A4B46832A700F32B1CA2B"/>
    <w:rsid w:val="005644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340A6F-66E2-4C6E-BE38-6697859D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7.8.19   Notice- FY2019 NOFA Release</vt:lpstr>
    </vt:vector>
  </TitlesOfParts>
  <Company>PLNU</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8.18.21 Notice- FY2021 NOFA Release</dc:title>
  <dc:creator>Pat Leslie</dc:creator>
  <cp:lastModifiedBy>Carrie Stemrich</cp:lastModifiedBy>
  <cp:revision>24</cp:revision>
  <cp:lastPrinted>2018-06-21T19:56:00Z</cp:lastPrinted>
  <dcterms:created xsi:type="dcterms:W3CDTF">2021-08-18T22:42:00Z</dcterms:created>
  <dcterms:modified xsi:type="dcterms:W3CDTF">2021-08-19T20:10:00Z</dcterms:modified>
</cp:coreProperties>
</file>